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11A" w:rsidRDefault="00C8579C" w:rsidP="0092311A">
      <w:pPr>
        <w:tabs>
          <w:tab w:val="left" w:pos="-657"/>
          <w:tab w:val="center" w:pos="1939"/>
          <w:tab w:val="right" w:pos="3686"/>
        </w:tabs>
        <w:spacing w:after="0" w:line="240" w:lineRule="auto"/>
        <w:ind w:right="4626"/>
        <w:rPr>
          <w:noProof/>
        </w:rPr>
      </w:pPr>
      <w:bookmarkStart w:id="0" w:name="_Hlk110383270"/>
      <w:r>
        <w:rPr>
          <w:noProof/>
        </w:rPr>
        <w:drawing>
          <wp:anchor distT="0" distB="0" distL="114300" distR="114300" simplePos="0" relativeHeight="251692032" behindDoc="0" locked="0" layoutInCell="1" allowOverlap="1" wp14:anchorId="39FE3406" wp14:editId="38763FCC">
            <wp:simplePos x="0" y="0"/>
            <wp:positionH relativeFrom="column">
              <wp:posOffset>51617</wp:posOffset>
            </wp:positionH>
            <wp:positionV relativeFrom="paragraph">
              <wp:posOffset>-565785</wp:posOffset>
            </wp:positionV>
            <wp:extent cx="848995" cy="861060"/>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899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3CF1B96" wp14:editId="71BB0081">
            <wp:simplePos x="0" y="0"/>
            <wp:positionH relativeFrom="column">
              <wp:posOffset>4621802</wp:posOffset>
            </wp:positionH>
            <wp:positionV relativeFrom="paragraph">
              <wp:posOffset>-544830</wp:posOffset>
            </wp:positionV>
            <wp:extent cx="723900" cy="841607"/>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23900" cy="841607"/>
                    </a:xfrm>
                    <a:prstGeom prst="rect">
                      <a:avLst/>
                    </a:prstGeom>
                  </pic:spPr>
                </pic:pic>
              </a:graphicData>
            </a:graphic>
            <wp14:sizeRelH relativeFrom="margin">
              <wp14:pctWidth>0</wp14:pctWidth>
            </wp14:sizeRelH>
            <wp14:sizeRelV relativeFrom="margin">
              <wp14:pctHeight>0</wp14:pctHeight>
            </wp14:sizeRelV>
          </wp:anchor>
        </w:drawing>
      </w:r>
      <w:r w:rsidR="00F04C2F" w:rsidRPr="00A201F7">
        <w:rPr>
          <w:rFonts w:ascii="Times New Roman" w:hAnsi="Times New Roman" w:cs="Times New Roman"/>
          <w:b/>
          <w:noProof/>
          <w:sz w:val="28"/>
          <w:szCs w:val="28"/>
          <w:highlight w:val="yellow"/>
        </w:rPr>
        <w:drawing>
          <wp:anchor distT="0" distB="0" distL="114300" distR="114300" simplePos="0" relativeHeight="251688960" behindDoc="1" locked="0" layoutInCell="1" allowOverlap="1" wp14:anchorId="475DB18F" wp14:editId="72E96D0B">
            <wp:simplePos x="0" y="0"/>
            <wp:positionH relativeFrom="margin">
              <wp:posOffset>-874395</wp:posOffset>
            </wp:positionH>
            <wp:positionV relativeFrom="margin">
              <wp:posOffset>-1042035</wp:posOffset>
            </wp:positionV>
            <wp:extent cx="7200000" cy="10440000"/>
            <wp:effectExtent l="0" t="0" r="127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kisspng-continental-exquisite-gold-frame-5a6b0e69b3d1a1.2498301615169654817365.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200000" cy="10440000"/>
                    </a:xfrm>
                    <a:prstGeom prst="rect">
                      <a:avLst/>
                    </a:prstGeom>
                  </pic:spPr>
                </pic:pic>
              </a:graphicData>
            </a:graphic>
            <wp14:sizeRelH relativeFrom="page">
              <wp14:pctWidth>0</wp14:pctWidth>
            </wp14:sizeRelH>
            <wp14:sizeRelV relativeFrom="page">
              <wp14:pctHeight>0</wp14:pctHeight>
            </wp14:sizeRelV>
          </wp:anchor>
        </w:drawing>
      </w:r>
      <w:r w:rsidR="00074956">
        <w:rPr>
          <w:noProof/>
        </w:rPr>
        <mc:AlternateContent>
          <mc:Choice Requires="wps">
            <w:drawing>
              <wp:anchor distT="0" distB="0" distL="114300" distR="114300" simplePos="0" relativeHeight="251672576" behindDoc="0" locked="0" layoutInCell="1" allowOverlap="1" wp14:anchorId="341F47F2" wp14:editId="3B050982">
                <wp:simplePos x="0" y="0"/>
                <wp:positionH relativeFrom="column">
                  <wp:posOffset>1129665</wp:posOffset>
                </wp:positionH>
                <wp:positionV relativeFrom="paragraph">
                  <wp:posOffset>-546735</wp:posOffset>
                </wp:positionV>
                <wp:extent cx="3489960" cy="899160"/>
                <wp:effectExtent l="0" t="0" r="0" b="0"/>
                <wp:wrapNone/>
                <wp:docPr id="63" name="Rectangle 63"/>
                <wp:cNvGraphicFramePr/>
                <a:graphic xmlns:a="http://schemas.openxmlformats.org/drawingml/2006/main">
                  <a:graphicData uri="http://schemas.microsoft.com/office/word/2010/wordprocessingShape">
                    <wps:wsp>
                      <wps:cNvSpPr/>
                      <wps:spPr>
                        <a:xfrm>
                          <a:off x="0" y="0"/>
                          <a:ext cx="3489960" cy="8991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371C0" w:rsidRDefault="004371C0" w:rsidP="00074956">
                            <w:pPr>
                              <w:autoSpaceDE w:val="0"/>
                              <w:autoSpaceDN w:val="0"/>
                              <w:adjustRightInd w:val="0"/>
                              <w:spacing w:after="0" w:line="240" w:lineRule="auto"/>
                              <w:jc w:val="center"/>
                              <w:rPr>
                                <w:rFonts w:asciiTheme="majorBidi" w:hAnsiTheme="majorBidi" w:cstheme="majorBidi"/>
                                <w:b/>
                                <w:bCs/>
                                <w:sz w:val="20"/>
                                <w:szCs w:val="20"/>
                              </w:rPr>
                            </w:pPr>
                            <w:proofErr w:type="spellStart"/>
                            <w:r w:rsidRPr="00074956">
                              <w:rPr>
                                <w:rFonts w:asciiTheme="majorBidi" w:hAnsiTheme="majorBidi" w:cstheme="majorBidi"/>
                                <w:b/>
                                <w:bCs/>
                                <w:sz w:val="20"/>
                                <w:szCs w:val="20"/>
                              </w:rPr>
                              <w:t>Qena</w:t>
                            </w:r>
                            <w:proofErr w:type="spellEnd"/>
                            <w:r w:rsidRPr="00074956">
                              <w:rPr>
                                <w:rFonts w:asciiTheme="majorBidi" w:hAnsiTheme="majorBidi" w:cstheme="majorBidi"/>
                                <w:b/>
                                <w:bCs/>
                                <w:sz w:val="20"/>
                                <w:szCs w:val="20"/>
                              </w:rPr>
                              <w:t xml:space="preserve"> Faculty of Medicine </w:t>
                            </w:r>
                          </w:p>
                          <w:p w:rsidR="004371C0" w:rsidRDefault="004371C0" w:rsidP="00074956">
                            <w:pPr>
                              <w:autoSpaceDE w:val="0"/>
                              <w:autoSpaceDN w:val="0"/>
                              <w:adjustRightInd w:val="0"/>
                              <w:spacing w:after="0" w:line="240" w:lineRule="auto"/>
                              <w:jc w:val="center"/>
                              <w:rPr>
                                <w:rFonts w:asciiTheme="majorBidi" w:hAnsiTheme="majorBidi" w:cstheme="majorBidi"/>
                                <w:b/>
                                <w:bCs/>
                                <w:sz w:val="20"/>
                                <w:szCs w:val="20"/>
                              </w:rPr>
                            </w:pPr>
                            <w:r w:rsidRPr="00074956">
                              <w:rPr>
                                <w:rFonts w:asciiTheme="majorBidi" w:hAnsiTheme="majorBidi" w:cstheme="majorBidi"/>
                                <w:b/>
                                <w:bCs/>
                                <w:sz w:val="20"/>
                                <w:szCs w:val="20"/>
                              </w:rPr>
                              <w:t xml:space="preserve">Vice Dean Research Office </w:t>
                            </w:r>
                          </w:p>
                          <w:p w:rsidR="004371C0" w:rsidRPr="00074956" w:rsidRDefault="004371C0" w:rsidP="00074956">
                            <w:pPr>
                              <w:autoSpaceDE w:val="0"/>
                              <w:autoSpaceDN w:val="0"/>
                              <w:adjustRightInd w:val="0"/>
                              <w:spacing w:after="0" w:line="240" w:lineRule="auto"/>
                              <w:jc w:val="center"/>
                              <w:rPr>
                                <w:rFonts w:asciiTheme="majorBidi" w:hAnsiTheme="majorBidi" w:cstheme="majorBidi"/>
                                <w:b/>
                                <w:bCs/>
                                <w:sz w:val="20"/>
                                <w:szCs w:val="20"/>
                              </w:rPr>
                            </w:pPr>
                            <w:r w:rsidRPr="00074956">
                              <w:rPr>
                                <w:rFonts w:asciiTheme="majorBidi" w:hAnsiTheme="majorBidi" w:cstheme="majorBidi"/>
                                <w:b/>
                                <w:bCs/>
                                <w:sz w:val="20"/>
                                <w:szCs w:val="20"/>
                              </w:rPr>
                              <w:t>Institutional Review Board (IRB)</w:t>
                            </w:r>
                          </w:p>
                          <w:p w:rsidR="004371C0" w:rsidRDefault="004371C0" w:rsidP="00074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left:0;text-align:left;margin-left:88.95pt;margin-top:-43.05pt;width:274.8pt;height:70.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" filled="f" stroked="f">
                <v:textbox>
                  <w:txbxContent>
                    <w:p w:rsidR="004371C0" w:rsidRDefault="004371C0" w:rsidP="00074956">
                      <w:pPr>
                        <w:autoSpaceDE w:val="0"/>
                        <w:autoSpaceDN w:val="0"/>
                        <w:adjustRightInd w:val="0"/>
                        <w:spacing w:after="0" w:line="240" w:lineRule="auto"/>
                        <w:jc w:val="center"/>
                        <w:rPr>
                          <w:rFonts w:asciiTheme="majorBidi" w:hAnsiTheme="majorBidi" w:cstheme="majorBidi"/>
                          <w:b/>
                          <w:bCs/>
                          <w:sz w:val="20"/>
                          <w:szCs w:val="20"/>
                        </w:rPr>
                      </w:pPr>
                      <w:proofErr w:type="spellStart"/>
                      <w:r w:rsidRPr="00074956">
                        <w:rPr>
                          <w:rFonts w:asciiTheme="majorBidi" w:hAnsiTheme="majorBidi" w:cstheme="majorBidi"/>
                          <w:b/>
                          <w:bCs/>
                          <w:sz w:val="20"/>
                          <w:szCs w:val="20"/>
                        </w:rPr>
                        <w:t>Qena</w:t>
                      </w:r>
                      <w:proofErr w:type="spellEnd"/>
                      <w:r w:rsidRPr="00074956">
                        <w:rPr>
                          <w:rFonts w:asciiTheme="majorBidi" w:hAnsiTheme="majorBidi" w:cstheme="majorBidi"/>
                          <w:b/>
                          <w:bCs/>
                          <w:sz w:val="20"/>
                          <w:szCs w:val="20"/>
                        </w:rPr>
                        <w:t xml:space="preserve"> Faculty of Medicine </w:t>
                      </w:r>
                    </w:p>
                    <w:p w:rsidR="004371C0" w:rsidRDefault="004371C0" w:rsidP="00074956">
                      <w:pPr>
                        <w:autoSpaceDE w:val="0"/>
                        <w:autoSpaceDN w:val="0"/>
                        <w:adjustRightInd w:val="0"/>
                        <w:spacing w:after="0" w:line="240" w:lineRule="auto"/>
                        <w:jc w:val="center"/>
                        <w:rPr>
                          <w:rFonts w:asciiTheme="majorBidi" w:hAnsiTheme="majorBidi" w:cstheme="majorBidi"/>
                          <w:b/>
                          <w:bCs/>
                          <w:sz w:val="20"/>
                          <w:szCs w:val="20"/>
                        </w:rPr>
                      </w:pPr>
                      <w:r w:rsidRPr="00074956">
                        <w:rPr>
                          <w:rFonts w:asciiTheme="majorBidi" w:hAnsiTheme="majorBidi" w:cstheme="majorBidi"/>
                          <w:b/>
                          <w:bCs/>
                          <w:sz w:val="20"/>
                          <w:szCs w:val="20"/>
                        </w:rPr>
                        <w:t xml:space="preserve">Vice Dean Research Office </w:t>
                      </w:r>
                    </w:p>
                    <w:p w:rsidR="004371C0" w:rsidRPr="00074956" w:rsidRDefault="004371C0" w:rsidP="00074956">
                      <w:pPr>
                        <w:autoSpaceDE w:val="0"/>
                        <w:autoSpaceDN w:val="0"/>
                        <w:adjustRightInd w:val="0"/>
                        <w:spacing w:after="0" w:line="240" w:lineRule="auto"/>
                        <w:jc w:val="center"/>
                        <w:rPr>
                          <w:rFonts w:asciiTheme="majorBidi" w:hAnsiTheme="majorBidi" w:cstheme="majorBidi"/>
                          <w:b/>
                          <w:bCs/>
                          <w:sz w:val="20"/>
                          <w:szCs w:val="20"/>
                        </w:rPr>
                      </w:pPr>
                      <w:r w:rsidRPr="00074956">
                        <w:rPr>
                          <w:rFonts w:asciiTheme="majorBidi" w:hAnsiTheme="majorBidi" w:cstheme="majorBidi"/>
                          <w:b/>
                          <w:bCs/>
                          <w:sz w:val="20"/>
                          <w:szCs w:val="20"/>
                        </w:rPr>
                        <w:t>Institutional Review Board (IRB)</w:t>
                      </w:r>
                    </w:p>
                    <w:p w:rsidR="004371C0" w:rsidRDefault="004371C0" w:rsidP="00074956">
                      <w:pPr>
                        <w:jc w:val="center"/>
                      </w:pPr>
                    </w:p>
                  </w:txbxContent>
                </v:textbox>
              </v:rect>
            </w:pict>
          </mc:Fallback>
        </mc:AlternateContent>
      </w:r>
      <w:r w:rsidR="00074956">
        <w:rPr>
          <w:noProof/>
        </w:rPr>
        <mc:AlternateContent>
          <mc:Choice Requires="wps">
            <w:drawing>
              <wp:anchor distT="0" distB="0" distL="114300" distR="114300" simplePos="0" relativeHeight="251671552" behindDoc="0" locked="0" layoutInCell="1" allowOverlap="1" wp14:anchorId="48097E47" wp14:editId="440A8C95">
                <wp:simplePos x="0" y="0"/>
                <wp:positionH relativeFrom="column">
                  <wp:posOffset>1083945</wp:posOffset>
                </wp:positionH>
                <wp:positionV relativeFrom="paragraph">
                  <wp:posOffset>-470535</wp:posOffset>
                </wp:positionV>
                <wp:extent cx="3672840" cy="765175"/>
                <wp:effectExtent l="0" t="0" r="0" b="0"/>
                <wp:wrapNone/>
                <wp:docPr id="62" name="Rectangle 62"/>
                <wp:cNvGraphicFramePr/>
                <a:graphic xmlns:a="http://schemas.openxmlformats.org/drawingml/2006/main">
                  <a:graphicData uri="http://schemas.microsoft.com/office/word/2010/wordprocessingShape">
                    <wps:wsp>
                      <wps:cNvSpPr/>
                      <wps:spPr>
                        <a:xfrm>
                          <a:off x="0" y="0"/>
                          <a:ext cx="3672840" cy="765175"/>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A2CB0F" id="Rectangle 62" o:spid="_x0000_s1026" style="position:absolute;margin-left:85.35pt;margin-top:-37.05pt;width:289.2pt;height:60.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" filled="f" stroked="f"/>
            </w:pict>
          </mc:Fallback>
        </mc:AlternateContent>
      </w:r>
      <w:r w:rsidR="0092311A">
        <w:rPr>
          <w:noProof/>
          <w:rtl/>
        </w:rPr>
        <w:tab/>
      </w:r>
      <w:r w:rsidR="0092311A">
        <w:rPr>
          <w:noProof/>
          <w:rtl/>
        </w:rPr>
        <w:tab/>
      </w:r>
    </w:p>
    <w:p w:rsidR="0092311A" w:rsidRDefault="0092311A" w:rsidP="0092311A">
      <w:pPr>
        <w:tabs>
          <w:tab w:val="right" w:pos="3686"/>
        </w:tabs>
        <w:spacing w:after="0" w:line="240" w:lineRule="auto"/>
        <w:ind w:right="4626"/>
        <w:jc w:val="center"/>
        <w:rPr>
          <w:noProof/>
        </w:rPr>
      </w:pPr>
    </w:p>
    <w:p w:rsidR="0092311A" w:rsidRPr="00714709" w:rsidRDefault="00714709" w:rsidP="00714709">
      <w:pPr>
        <w:autoSpaceDE w:val="0"/>
        <w:autoSpaceDN w:val="0"/>
        <w:bidi w:val="0"/>
        <w:adjustRightInd w:val="0"/>
        <w:spacing w:after="0" w:line="360" w:lineRule="auto"/>
        <w:jc w:val="center"/>
        <w:rPr>
          <w:rFonts w:asciiTheme="majorBidi" w:hAnsiTheme="majorBidi" w:cstheme="majorBidi"/>
          <w:b/>
          <w:bCs/>
          <w:color w:val="C00000"/>
          <w:sz w:val="44"/>
          <w:szCs w:val="44"/>
        </w:rPr>
      </w:pPr>
      <w:r w:rsidRPr="00714709">
        <w:rPr>
          <w:rFonts w:asciiTheme="majorBidi" w:hAnsiTheme="majorBidi" w:cstheme="majorBidi"/>
          <w:b/>
          <w:bCs/>
          <w:color w:val="C00000"/>
          <w:sz w:val="44"/>
          <w:szCs w:val="44"/>
        </w:rPr>
        <w:t xml:space="preserve">Poisoning among Children in </w:t>
      </w:r>
      <w:proofErr w:type="spellStart"/>
      <w:r w:rsidRPr="00714709">
        <w:rPr>
          <w:rFonts w:asciiTheme="majorBidi" w:hAnsiTheme="majorBidi" w:cstheme="majorBidi"/>
          <w:b/>
          <w:bCs/>
          <w:color w:val="C00000"/>
          <w:sz w:val="44"/>
          <w:szCs w:val="44"/>
        </w:rPr>
        <w:t>Qena</w:t>
      </w:r>
      <w:proofErr w:type="spellEnd"/>
      <w:r w:rsidRPr="00714709">
        <w:rPr>
          <w:rFonts w:asciiTheme="majorBidi" w:hAnsiTheme="majorBidi" w:cstheme="majorBidi"/>
          <w:b/>
          <w:bCs/>
          <w:color w:val="C00000"/>
          <w:sz w:val="44"/>
          <w:szCs w:val="44"/>
        </w:rPr>
        <w:t xml:space="preserve"> University Hospital</w:t>
      </w:r>
      <w:r w:rsidRPr="00714709">
        <w:rPr>
          <w:rFonts w:asciiTheme="majorBidi" w:hAnsiTheme="majorBidi" w:cstheme="majorBidi" w:hint="cs"/>
          <w:b/>
          <w:bCs/>
          <w:color w:val="C00000"/>
          <w:sz w:val="44"/>
          <w:szCs w:val="44"/>
          <w:rtl/>
        </w:rPr>
        <w:t>:</w:t>
      </w:r>
      <w:r w:rsidRPr="00714709">
        <w:rPr>
          <w:rFonts w:asciiTheme="majorBidi" w:hAnsiTheme="majorBidi" w:cstheme="majorBidi"/>
          <w:b/>
          <w:bCs/>
          <w:color w:val="C00000"/>
          <w:sz w:val="44"/>
          <w:szCs w:val="44"/>
        </w:rPr>
        <w:t xml:space="preserve"> Retrospective Study</w:t>
      </w:r>
      <w:r w:rsidRPr="00714709">
        <w:rPr>
          <w:rFonts w:asciiTheme="majorBidi" w:hAnsiTheme="majorBidi" w:cstheme="majorBidi" w:hint="cs"/>
          <w:b/>
          <w:bCs/>
          <w:color w:val="C00000"/>
          <w:sz w:val="44"/>
          <w:szCs w:val="44"/>
          <w:rtl/>
        </w:rPr>
        <w:t xml:space="preserve"> </w:t>
      </w:r>
    </w:p>
    <w:p w:rsidR="0092311A" w:rsidRDefault="0092311A" w:rsidP="00714709">
      <w:pPr>
        <w:bidi w:val="0"/>
        <w:spacing w:after="0" w:line="240" w:lineRule="auto"/>
        <w:jc w:val="center"/>
        <w:rPr>
          <w:rFonts w:ascii="Monotype Corsiva" w:eastAsia="Times New Roman" w:hAnsi="Monotype Corsiva" w:cs="Arabic Transparent"/>
          <w:b/>
          <w:bCs/>
          <w:color w:val="215868"/>
          <w:sz w:val="36"/>
          <w:szCs w:val="36"/>
          <w:lang w:bidi="ar-EG"/>
        </w:rPr>
      </w:pPr>
    </w:p>
    <w:p w:rsidR="0092311A" w:rsidRPr="002F2CC6" w:rsidRDefault="0092311A" w:rsidP="00714709">
      <w:pPr>
        <w:bidi w:val="0"/>
        <w:spacing w:after="0" w:line="240" w:lineRule="auto"/>
        <w:jc w:val="center"/>
        <w:rPr>
          <w:rFonts w:ascii="Monotype Corsiva" w:eastAsia="Times New Roman" w:hAnsi="Monotype Corsiva" w:cs="Arabic Transparent"/>
          <w:b/>
          <w:bCs/>
          <w:color w:val="215868"/>
          <w:sz w:val="36"/>
          <w:szCs w:val="36"/>
          <w:lang w:bidi="ar-EG"/>
        </w:rPr>
      </w:pPr>
      <w:r w:rsidRPr="002F2CC6">
        <w:rPr>
          <w:rFonts w:ascii="Monotype Corsiva" w:eastAsia="Times New Roman" w:hAnsi="Monotype Corsiva" w:cs="Arabic Transparent"/>
          <w:b/>
          <w:bCs/>
          <w:color w:val="215868"/>
          <w:sz w:val="36"/>
          <w:szCs w:val="36"/>
          <w:lang w:bidi="ar-EG"/>
        </w:rPr>
        <w:t>Thesis</w:t>
      </w:r>
    </w:p>
    <w:p w:rsidR="0092311A" w:rsidRPr="00580D68" w:rsidRDefault="0092311A" w:rsidP="00714709">
      <w:pPr>
        <w:bidi w:val="0"/>
        <w:ind w:right="180"/>
        <w:jc w:val="center"/>
        <w:rPr>
          <w:rFonts w:ascii="Monotype Corsiva" w:eastAsia="Times New Roman" w:hAnsi="Monotype Corsiva" w:cs="Arabic Transparent"/>
          <w:b/>
          <w:bCs/>
          <w:color w:val="215868"/>
          <w:sz w:val="36"/>
          <w:szCs w:val="36"/>
          <w:lang w:bidi="ar-EG"/>
        </w:rPr>
      </w:pPr>
      <w:r w:rsidRPr="00580D68">
        <w:rPr>
          <w:rFonts w:ascii="Monotype Corsiva" w:eastAsia="Times New Roman" w:hAnsi="Monotype Corsiva" w:cs="Arabic Transparent"/>
          <w:b/>
          <w:bCs/>
          <w:color w:val="215868"/>
          <w:sz w:val="36"/>
          <w:szCs w:val="36"/>
          <w:lang w:bidi="ar-EG"/>
        </w:rPr>
        <w:t>Submitted for Partial Fulfillment of Master Degree in</w:t>
      </w:r>
      <w:r>
        <w:rPr>
          <w:rFonts w:ascii="Monotype Corsiva" w:eastAsia="Times New Roman" w:hAnsi="Monotype Corsiva" w:cs="Arabic Transparent"/>
          <w:b/>
          <w:bCs/>
          <w:color w:val="215868"/>
          <w:sz w:val="36"/>
          <w:szCs w:val="36"/>
          <w:lang w:bidi="ar-EG"/>
        </w:rPr>
        <w:t xml:space="preserve"> </w:t>
      </w:r>
      <w:r w:rsidR="00714709" w:rsidRPr="00714709">
        <w:rPr>
          <w:rFonts w:ascii="Monotype Corsiva" w:eastAsia="Times New Roman" w:hAnsi="Monotype Corsiva" w:cs="Arabic Transparent"/>
          <w:b/>
          <w:bCs/>
          <w:color w:val="215868"/>
          <w:sz w:val="36"/>
          <w:szCs w:val="36"/>
          <w:lang w:bidi="ar-EG"/>
        </w:rPr>
        <w:t>Forensic medicine and Clinical Toxicology</w:t>
      </w:r>
    </w:p>
    <w:p w:rsidR="0092311A" w:rsidRPr="00B56401" w:rsidRDefault="0092311A" w:rsidP="00714709">
      <w:pPr>
        <w:bidi w:val="0"/>
        <w:spacing w:after="0"/>
        <w:jc w:val="center"/>
        <w:rPr>
          <w:rFonts w:ascii="Monotype Corsiva" w:eastAsia="Calibri" w:hAnsi="Monotype Corsiva" w:cs="Arabic Transparent"/>
          <w:b/>
          <w:bCs/>
          <w:sz w:val="40"/>
          <w:szCs w:val="40"/>
          <w:rtl/>
        </w:rPr>
      </w:pPr>
      <w:r w:rsidRPr="00B56401">
        <w:rPr>
          <w:rFonts w:ascii="Monotype Corsiva" w:eastAsia="Calibri" w:hAnsi="Monotype Corsiva" w:cs="Arabic Transparent"/>
          <w:b/>
          <w:bCs/>
          <w:sz w:val="40"/>
          <w:szCs w:val="40"/>
        </w:rPr>
        <w:t>By</w:t>
      </w:r>
    </w:p>
    <w:p w:rsidR="0092311A" w:rsidRPr="00714709" w:rsidRDefault="00714709" w:rsidP="00714709">
      <w:pPr>
        <w:shd w:val="clear" w:color="auto" w:fill="FFFFFF" w:themeFill="background1"/>
        <w:bidi w:val="0"/>
        <w:spacing w:after="0"/>
        <w:jc w:val="center"/>
        <w:rPr>
          <w:rFonts w:ascii="Monotype Corsiva" w:eastAsia="Times New Roman" w:hAnsi="Monotype Corsiva" w:cs="Times New Roman"/>
          <w:b/>
          <w:bCs/>
          <w:color w:val="C00000"/>
          <w:sz w:val="48"/>
          <w:szCs w:val="48"/>
        </w:rPr>
      </w:pPr>
      <w:proofErr w:type="spellStart"/>
      <w:r w:rsidRPr="00714709">
        <w:rPr>
          <w:rFonts w:ascii="Monotype Corsiva" w:eastAsia="Times New Roman" w:hAnsi="Monotype Corsiva" w:cs="Times New Roman"/>
          <w:b/>
          <w:bCs/>
          <w:color w:val="C00000"/>
          <w:sz w:val="48"/>
          <w:szCs w:val="48"/>
        </w:rPr>
        <w:t>Rana</w:t>
      </w:r>
      <w:proofErr w:type="spellEnd"/>
      <w:r w:rsidRPr="00714709">
        <w:rPr>
          <w:rFonts w:ascii="Monotype Corsiva" w:eastAsia="Times New Roman" w:hAnsi="Monotype Corsiva" w:cs="Times New Roman"/>
          <w:b/>
          <w:bCs/>
          <w:color w:val="C00000"/>
          <w:sz w:val="48"/>
          <w:szCs w:val="48"/>
        </w:rPr>
        <w:t xml:space="preserve"> Ali </w:t>
      </w:r>
      <w:proofErr w:type="spellStart"/>
      <w:r w:rsidRPr="00714709">
        <w:rPr>
          <w:rFonts w:ascii="Monotype Corsiva" w:eastAsia="Times New Roman" w:hAnsi="Monotype Corsiva" w:cs="Times New Roman"/>
          <w:b/>
          <w:bCs/>
          <w:color w:val="C00000"/>
          <w:sz w:val="48"/>
          <w:szCs w:val="48"/>
        </w:rPr>
        <w:t>Sleem</w:t>
      </w:r>
      <w:proofErr w:type="spellEnd"/>
    </w:p>
    <w:p w:rsidR="0092311A" w:rsidRPr="001A143B" w:rsidRDefault="0092311A" w:rsidP="00714709">
      <w:pPr>
        <w:widowControl w:val="0"/>
        <w:tabs>
          <w:tab w:val="left" w:pos="3287"/>
          <w:tab w:val="center" w:pos="4373"/>
        </w:tabs>
        <w:autoSpaceDE w:val="0"/>
        <w:autoSpaceDN w:val="0"/>
        <w:bidi w:val="0"/>
        <w:spacing w:after="0" w:line="240" w:lineRule="auto"/>
        <w:jc w:val="center"/>
        <w:rPr>
          <w:rFonts w:ascii="Calibri" w:eastAsia="Microsoft Sans Serif" w:hAnsi="Calibri" w:cs="Microsoft Sans Serif"/>
          <w:b/>
          <w:i/>
          <w:sz w:val="31"/>
        </w:rPr>
      </w:pPr>
      <w:r>
        <w:t xml:space="preserve"> </w:t>
      </w:r>
      <w:r w:rsidRPr="001A143B">
        <w:rPr>
          <w:rFonts w:ascii="Calibri" w:eastAsia="Microsoft Sans Serif" w:hAnsi="Calibri" w:cs="Microsoft Sans Serif"/>
          <w:b/>
          <w:i/>
          <w:sz w:val="31"/>
        </w:rPr>
        <w:t>M.B.B.</w:t>
      </w:r>
      <w:proofErr w:type="gramStart"/>
      <w:r w:rsidRPr="001A143B">
        <w:rPr>
          <w:rFonts w:ascii="Calibri" w:eastAsia="Microsoft Sans Serif" w:hAnsi="Calibri" w:cs="Microsoft Sans Serif"/>
          <w:b/>
          <w:i/>
          <w:sz w:val="31"/>
        </w:rPr>
        <w:t>,</w:t>
      </w:r>
      <w:proofErr w:type="spellStart"/>
      <w:r w:rsidRPr="001A143B">
        <w:rPr>
          <w:rFonts w:ascii="Calibri" w:eastAsia="Microsoft Sans Serif" w:hAnsi="Calibri" w:cs="Microsoft Sans Serif"/>
          <w:b/>
          <w:i/>
          <w:sz w:val="31"/>
        </w:rPr>
        <w:t>ch</w:t>
      </w:r>
      <w:proofErr w:type="spellEnd"/>
      <w:proofErr w:type="gramEnd"/>
      <w:r w:rsidRPr="001A143B">
        <w:rPr>
          <w:rFonts w:ascii="Calibri" w:eastAsia="Microsoft Sans Serif" w:hAnsi="Calibri" w:cs="Microsoft Sans Serif"/>
          <w:b/>
          <w:i/>
          <w:sz w:val="31"/>
        </w:rPr>
        <w:t xml:space="preserve"> </w:t>
      </w:r>
    </w:p>
    <w:p w:rsidR="00074956" w:rsidRPr="00074956" w:rsidRDefault="00074956" w:rsidP="00714709">
      <w:pPr>
        <w:widowControl w:val="0"/>
        <w:tabs>
          <w:tab w:val="left" w:pos="3287"/>
          <w:tab w:val="center" w:pos="4373"/>
        </w:tabs>
        <w:autoSpaceDE w:val="0"/>
        <w:autoSpaceDN w:val="0"/>
        <w:bidi w:val="0"/>
        <w:spacing w:after="0" w:line="240" w:lineRule="auto"/>
        <w:jc w:val="center"/>
        <w:rPr>
          <w:rFonts w:ascii="Calibri" w:eastAsia="Microsoft Sans Serif" w:hAnsi="Calibri" w:cs="Microsoft Sans Serif"/>
          <w:b/>
          <w:i/>
          <w:sz w:val="31"/>
        </w:rPr>
      </w:pPr>
    </w:p>
    <w:p w:rsidR="0092311A" w:rsidRPr="00580D68" w:rsidRDefault="0092311A" w:rsidP="00714709">
      <w:pPr>
        <w:shd w:val="clear" w:color="auto" w:fill="FFFFFF" w:themeFill="background1"/>
        <w:bidi w:val="0"/>
        <w:spacing w:after="0"/>
        <w:jc w:val="center"/>
        <w:rPr>
          <w:rFonts w:ascii="Monotype Corsiva" w:eastAsia="Times New Roman" w:hAnsi="Monotype Corsiva" w:cs="Times New Roman"/>
          <w:b/>
          <w:bCs/>
          <w:color w:val="000000" w:themeColor="text1"/>
          <w:sz w:val="40"/>
          <w:szCs w:val="40"/>
        </w:rPr>
      </w:pPr>
      <w:r w:rsidRPr="00580D68">
        <w:rPr>
          <w:rFonts w:ascii="Monotype Corsiva" w:eastAsia="Times New Roman" w:hAnsi="Monotype Corsiva" w:cs="Times New Roman"/>
          <w:b/>
          <w:bCs/>
          <w:color w:val="000000" w:themeColor="text1"/>
          <w:sz w:val="40"/>
          <w:szCs w:val="40"/>
        </w:rPr>
        <w:t>Supervised by</w:t>
      </w:r>
    </w:p>
    <w:p w:rsidR="00074956" w:rsidRPr="00F04C2F" w:rsidRDefault="00714709" w:rsidP="00714709">
      <w:pPr>
        <w:bidi w:val="0"/>
        <w:spacing w:after="0" w:line="240" w:lineRule="auto"/>
        <w:jc w:val="center"/>
        <w:rPr>
          <w:rFonts w:asciiTheme="majorBidi" w:eastAsia="Microsoft Sans Serif" w:hAnsiTheme="majorBidi" w:cstheme="majorBidi"/>
          <w:b/>
          <w:bCs/>
          <w:color w:val="5B9BD5" w:themeColor="accent5"/>
          <w:spacing w:val="-1"/>
          <w:sz w:val="48"/>
        </w:rPr>
      </w:pPr>
      <w:r>
        <w:rPr>
          <w:rFonts w:asciiTheme="majorBidi" w:eastAsia="Microsoft Sans Serif" w:hAnsiTheme="majorBidi" w:cstheme="majorBidi"/>
          <w:b/>
          <w:bCs/>
          <w:color w:val="5B9BD5" w:themeColor="accent5"/>
          <w:spacing w:val="-1"/>
          <w:sz w:val="48"/>
        </w:rPr>
        <w:t>Prof.</w:t>
      </w:r>
      <w:r w:rsidR="00074956" w:rsidRPr="00F04C2F">
        <w:rPr>
          <w:rFonts w:asciiTheme="majorBidi" w:eastAsia="Microsoft Sans Serif" w:hAnsiTheme="majorBidi" w:cstheme="majorBidi"/>
          <w:b/>
          <w:bCs/>
          <w:color w:val="5B9BD5" w:themeColor="accent5"/>
          <w:spacing w:val="-1"/>
          <w:sz w:val="48"/>
        </w:rPr>
        <w:t xml:space="preserve"> </w:t>
      </w:r>
      <w:r w:rsidRPr="00714709">
        <w:rPr>
          <w:rFonts w:asciiTheme="majorBidi" w:eastAsia="Microsoft Sans Serif" w:hAnsiTheme="majorBidi" w:cstheme="majorBidi"/>
          <w:b/>
          <w:bCs/>
          <w:color w:val="5B9BD5" w:themeColor="accent5"/>
          <w:spacing w:val="-1"/>
          <w:sz w:val="48"/>
        </w:rPr>
        <w:t xml:space="preserve">Samira Mohamed </w:t>
      </w:r>
      <w:proofErr w:type="spellStart"/>
      <w:r w:rsidRPr="00714709">
        <w:rPr>
          <w:rFonts w:asciiTheme="majorBidi" w:eastAsia="Microsoft Sans Serif" w:hAnsiTheme="majorBidi" w:cstheme="majorBidi"/>
          <w:b/>
          <w:bCs/>
          <w:color w:val="5B9BD5" w:themeColor="accent5"/>
          <w:spacing w:val="-1"/>
          <w:sz w:val="48"/>
        </w:rPr>
        <w:t>Saleh</w:t>
      </w:r>
      <w:proofErr w:type="spellEnd"/>
    </w:p>
    <w:p w:rsidR="00714709" w:rsidRPr="00714709" w:rsidRDefault="00714709" w:rsidP="00714709">
      <w:pPr>
        <w:bidi w:val="0"/>
        <w:spacing w:after="0" w:line="240" w:lineRule="auto"/>
        <w:jc w:val="center"/>
        <w:rPr>
          <w:rFonts w:asciiTheme="majorBidi" w:eastAsia="Arial" w:hAnsiTheme="majorBidi" w:cstheme="majorBidi"/>
          <w:b/>
          <w:bCs/>
          <w:sz w:val="28"/>
          <w:szCs w:val="28"/>
          <w:lang w:bidi="en-US"/>
        </w:rPr>
      </w:pPr>
      <w:r>
        <w:rPr>
          <w:rFonts w:asciiTheme="majorBidi" w:eastAsia="Arial" w:hAnsiTheme="majorBidi" w:cstheme="majorBidi"/>
          <w:b/>
          <w:bCs/>
          <w:sz w:val="28"/>
          <w:szCs w:val="28"/>
          <w:lang w:bidi="en-US"/>
        </w:rPr>
        <w:t>P</w:t>
      </w:r>
      <w:r w:rsidR="00074956" w:rsidRPr="00F04C2F">
        <w:rPr>
          <w:rFonts w:asciiTheme="majorBidi" w:eastAsia="Arial" w:hAnsiTheme="majorBidi" w:cstheme="majorBidi"/>
          <w:b/>
          <w:bCs/>
          <w:sz w:val="28"/>
          <w:szCs w:val="28"/>
          <w:lang w:bidi="en-US"/>
        </w:rPr>
        <w:t xml:space="preserve">rofessor of </w:t>
      </w:r>
      <w:r w:rsidRPr="00714709">
        <w:rPr>
          <w:rFonts w:asciiTheme="majorBidi" w:eastAsia="Arial" w:hAnsiTheme="majorBidi" w:cstheme="majorBidi"/>
          <w:b/>
          <w:bCs/>
          <w:sz w:val="28"/>
          <w:szCs w:val="28"/>
          <w:lang w:bidi="en-US"/>
        </w:rPr>
        <w:t>Forensic medicine and Clinical Toxicology</w:t>
      </w:r>
    </w:p>
    <w:p w:rsidR="00074956" w:rsidRPr="00F04C2F" w:rsidRDefault="00074956" w:rsidP="00714709">
      <w:pPr>
        <w:bidi w:val="0"/>
        <w:spacing w:after="0" w:line="240" w:lineRule="auto"/>
        <w:jc w:val="center"/>
        <w:rPr>
          <w:rFonts w:asciiTheme="majorBidi" w:eastAsia="Arial" w:hAnsiTheme="majorBidi" w:cstheme="majorBidi"/>
          <w:b/>
          <w:bCs/>
          <w:sz w:val="28"/>
          <w:szCs w:val="28"/>
          <w:lang w:bidi="en-US"/>
        </w:rPr>
      </w:pPr>
      <w:r w:rsidRPr="00F04C2F">
        <w:rPr>
          <w:rFonts w:asciiTheme="majorBidi" w:eastAsia="Arial" w:hAnsiTheme="majorBidi" w:cstheme="majorBidi"/>
          <w:b/>
          <w:bCs/>
          <w:sz w:val="28"/>
          <w:szCs w:val="28"/>
          <w:lang w:bidi="en-US"/>
        </w:rPr>
        <w:t xml:space="preserve"> Faculty of Medicine</w:t>
      </w:r>
      <w:r w:rsidR="00714709">
        <w:rPr>
          <w:rFonts w:asciiTheme="majorBidi" w:eastAsia="Arial" w:hAnsiTheme="majorBidi" w:cstheme="majorBidi"/>
          <w:b/>
          <w:bCs/>
          <w:sz w:val="28"/>
          <w:szCs w:val="28"/>
          <w:lang w:bidi="en-US"/>
        </w:rPr>
        <w:t xml:space="preserve"> - </w:t>
      </w:r>
      <w:r w:rsidRPr="00F04C2F">
        <w:rPr>
          <w:rFonts w:asciiTheme="majorBidi" w:eastAsia="Arial" w:hAnsiTheme="majorBidi" w:cstheme="majorBidi"/>
          <w:b/>
          <w:bCs/>
          <w:sz w:val="28"/>
          <w:szCs w:val="28"/>
          <w:lang w:bidi="en-US"/>
        </w:rPr>
        <w:t>South Valley University</w:t>
      </w:r>
    </w:p>
    <w:p w:rsidR="00F04C2F" w:rsidRPr="00F04C2F" w:rsidRDefault="00074956" w:rsidP="00714709">
      <w:pPr>
        <w:bidi w:val="0"/>
        <w:spacing w:after="0" w:line="240" w:lineRule="auto"/>
        <w:jc w:val="center"/>
        <w:rPr>
          <w:rFonts w:asciiTheme="majorBidi" w:hAnsiTheme="majorBidi" w:cstheme="majorBidi"/>
          <w:rtl/>
        </w:rPr>
      </w:pPr>
      <w:r w:rsidRPr="00F04C2F">
        <w:rPr>
          <w:rFonts w:asciiTheme="majorBidi" w:hAnsiTheme="majorBidi" w:cstheme="majorBidi"/>
        </w:rPr>
        <w:t xml:space="preserve"> </w:t>
      </w:r>
    </w:p>
    <w:p w:rsidR="00074956" w:rsidRPr="00714709" w:rsidRDefault="00074956" w:rsidP="00714709">
      <w:pPr>
        <w:bidi w:val="0"/>
        <w:spacing w:after="0" w:line="240" w:lineRule="auto"/>
        <w:jc w:val="center"/>
        <w:rPr>
          <w:rFonts w:asciiTheme="majorBidi" w:eastAsia="Microsoft Sans Serif" w:hAnsiTheme="majorBidi" w:cstheme="majorBidi"/>
          <w:b/>
          <w:bCs/>
          <w:color w:val="5B9BD5" w:themeColor="accent5"/>
          <w:spacing w:val="-1"/>
          <w:sz w:val="48"/>
        </w:rPr>
      </w:pPr>
      <w:r w:rsidRPr="00F04C2F">
        <w:rPr>
          <w:rFonts w:asciiTheme="majorBidi" w:eastAsia="Microsoft Sans Serif" w:hAnsiTheme="majorBidi" w:cstheme="majorBidi"/>
          <w:b/>
          <w:bCs/>
          <w:color w:val="5B9BD5" w:themeColor="accent5"/>
          <w:spacing w:val="-1"/>
          <w:sz w:val="48"/>
        </w:rPr>
        <w:t>DR</w:t>
      </w:r>
      <w:r w:rsidR="00714709">
        <w:rPr>
          <w:rFonts w:asciiTheme="majorBidi" w:eastAsia="Microsoft Sans Serif" w:hAnsiTheme="majorBidi" w:cstheme="majorBidi"/>
          <w:b/>
          <w:bCs/>
          <w:color w:val="5B9BD5" w:themeColor="accent5"/>
          <w:spacing w:val="-1"/>
          <w:sz w:val="48"/>
        </w:rPr>
        <w:t xml:space="preserve">. </w:t>
      </w:r>
      <w:r w:rsidR="00714709" w:rsidRPr="00714709">
        <w:rPr>
          <w:rFonts w:asciiTheme="majorBidi" w:eastAsia="Microsoft Sans Serif" w:hAnsiTheme="majorBidi" w:cstheme="majorBidi"/>
          <w:b/>
          <w:bCs/>
          <w:color w:val="5B9BD5" w:themeColor="accent5"/>
          <w:spacing w:val="-1"/>
          <w:sz w:val="48"/>
        </w:rPr>
        <w:t xml:space="preserve">Mohamed </w:t>
      </w:r>
      <w:proofErr w:type="spellStart"/>
      <w:r w:rsidR="00714709" w:rsidRPr="00714709">
        <w:rPr>
          <w:rFonts w:asciiTheme="majorBidi" w:eastAsia="Microsoft Sans Serif" w:hAnsiTheme="majorBidi" w:cstheme="majorBidi"/>
          <w:b/>
          <w:bCs/>
          <w:color w:val="5B9BD5" w:themeColor="accent5"/>
          <w:spacing w:val="-1"/>
          <w:sz w:val="48"/>
        </w:rPr>
        <w:t>Aw</w:t>
      </w:r>
      <w:r w:rsidR="00BE3695">
        <w:rPr>
          <w:rFonts w:asciiTheme="majorBidi" w:eastAsia="Microsoft Sans Serif" w:hAnsiTheme="majorBidi" w:cstheme="majorBidi"/>
          <w:b/>
          <w:bCs/>
          <w:color w:val="5B9BD5" w:themeColor="accent5"/>
          <w:spacing w:val="-1"/>
          <w:sz w:val="48"/>
        </w:rPr>
        <w:t>a</w:t>
      </w:r>
      <w:r w:rsidR="00714709" w:rsidRPr="00714709">
        <w:rPr>
          <w:rFonts w:asciiTheme="majorBidi" w:eastAsia="Microsoft Sans Serif" w:hAnsiTheme="majorBidi" w:cstheme="majorBidi"/>
          <w:b/>
          <w:bCs/>
          <w:color w:val="5B9BD5" w:themeColor="accent5"/>
          <w:spacing w:val="-1"/>
          <w:sz w:val="48"/>
        </w:rPr>
        <w:t>ad</w:t>
      </w:r>
      <w:proofErr w:type="spellEnd"/>
      <w:r w:rsidR="00714709" w:rsidRPr="00714709">
        <w:rPr>
          <w:rFonts w:asciiTheme="majorBidi" w:eastAsia="Microsoft Sans Serif" w:hAnsiTheme="majorBidi" w:cstheme="majorBidi"/>
          <w:b/>
          <w:bCs/>
          <w:color w:val="5B9BD5" w:themeColor="accent5"/>
          <w:spacing w:val="-1"/>
          <w:sz w:val="48"/>
        </w:rPr>
        <w:t xml:space="preserve"> </w:t>
      </w:r>
      <w:proofErr w:type="spellStart"/>
      <w:r w:rsidR="00714709" w:rsidRPr="00714709">
        <w:rPr>
          <w:rFonts w:asciiTheme="majorBidi" w:eastAsia="Microsoft Sans Serif" w:hAnsiTheme="majorBidi" w:cstheme="majorBidi"/>
          <w:b/>
          <w:bCs/>
          <w:color w:val="5B9BD5" w:themeColor="accent5"/>
          <w:spacing w:val="-1"/>
          <w:sz w:val="48"/>
        </w:rPr>
        <w:t>Abd</w:t>
      </w:r>
      <w:proofErr w:type="spellEnd"/>
      <w:r w:rsidR="00714709">
        <w:rPr>
          <w:rFonts w:asciiTheme="majorBidi" w:eastAsia="Microsoft Sans Serif" w:hAnsiTheme="majorBidi" w:cstheme="majorBidi"/>
          <w:b/>
          <w:bCs/>
          <w:color w:val="5B9BD5" w:themeColor="accent5"/>
          <w:spacing w:val="-1"/>
          <w:sz w:val="48"/>
        </w:rPr>
        <w:t>-</w:t>
      </w:r>
      <w:r w:rsidR="00714709" w:rsidRPr="00714709">
        <w:rPr>
          <w:rFonts w:asciiTheme="majorBidi" w:eastAsia="Microsoft Sans Serif" w:hAnsiTheme="majorBidi" w:cstheme="majorBidi"/>
          <w:b/>
          <w:bCs/>
          <w:color w:val="5B9BD5" w:themeColor="accent5"/>
          <w:spacing w:val="-1"/>
          <w:sz w:val="48"/>
        </w:rPr>
        <w:t>El</w:t>
      </w:r>
      <w:r w:rsidR="00714709">
        <w:rPr>
          <w:rFonts w:asciiTheme="majorBidi" w:eastAsia="Microsoft Sans Serif" w:hAnsiTheme="majorBidi" w:cstheme="majorBidi"/>
          <w:b/>
          <w:bCs/>
          <w:color w:val="5B9BD5" w:themeColor="accent5"/>
          <w:spacing w:val="-1"/>
          <w:sz w:val="48"/>
        </w:rPr>
        <w:t>-</w:t>
      </w:r>
      <w:proofErr w:type="spellStart"/>
      <w:r w:rsidR="00714709" w:rsidRPr="00714709">
        <w:rPr>
          <w:rFonts w:asciiTheme="majorBidi" w:eastAsia="Microsoft Sans Serif" w:hAnsiTheme="majorBidi" w:cstheme="majorBidi"/>
          <w:b/>
          <w:bCs/>
          <w:color w:val="5B9BD5" w:themeColor="accent5"/>
          <w:spacing w:val="-1"/>
          <w:sz w:val="48"/>
        </w:rPr>
        <w:t>Ati</w:t>
      </w:r>
      <w:proofErr w:type="spellEnd"/>
    </w:p>
    <w:p w:rsidR="00714709" w:rsidRPr="00714709" w:rsidRDefault="00714709" w:rsidP="00714709">
      <w:pPr>
        <w:bidi w:val="0"/>
        <w:spacing w:after="0" w:line="240" w:lineRule="auto"/>
        <w:jc w:val="center"/>
        <w:rPr>
          <w:rFonts w:asciiTheme="majorBidi" w:eastAsia="Arial" w:hAnsiTheme="majorBidi" w:cstheme="majorBidi"/>
          <w:b/>
          <w:bCs/>
          <w:sz w:val="28"/>
          <w:szCs w:val="28"/>
          <w:lang w:bidi="en-US"/>
        </w:rPr>
      </w:pPr>
      <w:r>
        <w:rPr>
          <w:rFonts w:asciiTheme="majorBidi" w:eastAsia="Arial" w:hAnsiTheme="majorBidi" w:cstheme="majorBidi"/>
          <w:b/>
          <w:bCs/>
          <w:sz w:val="28"/>
          <w:szCs w:val="28"/>
          <w:lang w:bidi="en-US"/>
        </w:rPr>
        <w:t>Lecturer</w:t>
      </w:r>
      <w:r w:rsidRPr="00F04C2F">
        <w:rPr>
          <w:rFonts w:asciiTheme="majorBidi" w:eastAsia="Arial" w:hAnsiTheme="majorBidi" w:cstheme="majorBidi"/>
          <w:b/>
          <w:bCs/>
          <w:sz w:val="28"/>
          <w:szCs w:val="28"/>
          <w:lang w:bidi="en-US"/>
        </w:rPr>
        <w:t xml:space="preserve"> of </w:t>
      </w:r>
      <w:r w:rsidR="00BE3695">
        <w:rPr>
          <w:rFonts w:asciiTheme="majorBidi" w:eastAsia="Arial" w:hAnsiTheme="majorBidi" w:cstheme="majorBidi"/>
          <w:b/>
          <w:bCs/>
          <w:sz w:val="28"/>
          <w:szCs w:val="28"/>
          <w:lang w:bidi="en-US"/>
        </w:rPr>
        <w:t>C</w:t>
      </w:r>
      <w:r w:rsidR="00BE3695" w:rsidRPr="00BE3695">
        <w:rPr>
          <w:rFonts w:asciiTheme="majorBidi" w:eastAsia="Arial" w:hAnsiTheme="majorBidi" w:cstheme="majorBidi"/>
          <w:b/>
          <w:bCs/>
          <w:sz w:val="28"/>
          <w:szCs w:val="28"/>
          <w:lang w:bidi="en-US"/>
        </w:rPr>
        <w:t>linical Toxicology</w:t>
      </w:r>
    </w:p>
    <w:p w:rsidR="00714709" w:rsidRPr="00F04C2F" w:rsidRDefault="00714709" w:rsidP="00714709">
      <w:pPr>
        <w:bidi w:val="0"/>
        <w:spacing w:after="0" w:line="240" w:lineRule="auto"/>
        <w:jc w:val="center"/>
        <w:rPr>
          <w:rFonts w:asciiTheme="majorBidi" w:eastAsia="Arial" w:hAnsiTheme="majorBidi" w:cstheme="majorBidi"/>
          <w:b/>
          <w:bCs/>
          <w:sz w:val="28"/>
          <w:szCs w:val="28"/>
          <w:lang w:bidi="en-US"/>
        </w:rPr>
      </w:pPr>
      <w:r w:rsidRPr="00F04C2F">
        <w:rPr>
          <w:rFonts w:asciiTheme="majorBidi" w:eastAsia="Arial" w:hAnsiTheme="majorBidi" w:cstheme="majorBidi"/>
          <w:b/>
          <w:bCs/>
          <w:sz w:val="28"/>
          <w:szCs w:val="28"/>
          <w:lang w:bidi="en-US"/>
        </w:rPr>
        <w:t xml:space="preserve"> Faculty of Medicine</w:t>
      </w:r>
      <w:r>
        <w:rPr>
          <w:rFonts w:asciiTheme="majorBidi" w:eastAsia="Arial" w:hAnsiTheme="majorBidi" w:cstheme="majorBidi"/>
          <w:b/>
          <w:bCs/>
          <w:sz w:val="28"/>
          <w:szCs w:val="28"/>
          <w:lang w:bidi="en-US"/>
        </w:rPr>
        <w:t xml:space="preserve"> - </w:t>
      </w:r>
      <w:r w:rsidRPr="00F04C2F">
        <w:rPr>
          <w:rFonts w:asciiTheme="majorBidi" w:eastAsia="Arial" w:hAnsiTheme="majorBidi" w:cstheme="majorBidi"/>
          <w:b/>
          <w:bCs/>
          <w:sz w:val="28"/>
          <w:szCs w:val="28"/>
          <w:lang w:bidi="en-US"/>
        </w:rPr>
        <w:t>South Valley University</w:t>
      </w:r>
    </w:p>
    <w:p w:rsidR="00F04C2F" w:rsidRPr="00F04C2F" w:rsidRDefault="00074956" w:rsidP="00714709">
      <w:pPr>
        <w:bidi w:val="0"/>
        <w:spacing w:after="0" w:line="240" w:lineRule="auto"/>
        <w:jc w:val="center"/>
        <w:rPr>
          <w:rFonts w:asciiTheme="majorBidi" w:hAnsiTheme="majorBidi" w:cstheme="majorBidi"/>
          <w:rtl/>
        </w:rPr>
      </w:pPr>
      <w:r w:rsidRPr="00F04C2F">
        <w:rPr>
          <w:rFonts w:asciiTheme="majorBidi" w:hAnsiTheme="majorBidi" w:cstheme="majorBidi"/>
        </w:rPr>
        <w:t xml:space="preserve"> </w:t>
      </w:r>
    </w:p>
    <w:p w:rsidR="00074956" w:rsidRPr="00F04C2F" w:rsidRDefault="00074956" w:rsidP="00714709">
      <w:pPr>
        <w:bidi w:val="0"/>
        <w:spacing w:after="0" w:line="240" w:lineRule="auto"/>
        <w:jc w:val="center"/>
        <w:rPr>
          <w:rFonts w:asciiTheme="majorBidi" w:hAnsiTheme="majorBidi" w:cstheme="majorBidi"/>
        </w:rPr>
      </w:pPr>
      <w:r w:rsidRPr="00F04C2F">
        <w:rPr>
          <w:rFonts w:asciiTheme="majorBidi" w:eastAsia="Microsoft Sans Serif" w:hAnsiTheme="majorBidi" w:cstheme="majorBidi"/>
          <w:b/>
          <w:bCs/>
          <w:color w:val="5B9BD5" w:themeColor="accent5"/>
          <w:spacing w:val="-1"/>
          <w:sz w:val="48"/>
        </w:rPr>
        <w:t>DR</w:t>
      </w:r>
      <w:r w:rsidR="00714709">
        <w:rPr>
          <w:rFonts w:asciiTheme="majorBidi" w:eastAsia="Microsoft Sans Serif" w:hAnsiTheme="majorBidi" w:cstheme="majorBidi"/>
          <w:b/>
          <w:bCs/>
          <w:color w:val="5B9BD5" w:themeColor="accent5"/>
          <w:spacing w:val="-1"/>
          <w:sz w:val="48"/>
        </w:rPr>
        <w:t>.</w:t>
      </w:r>
      <w:r w:rsidRPr="00F04C2F">
        <w:rPr>
          <w:rFonts w:asciiTheme="majorBidi" w:eastAsia="Microsoft Sans Serif" w:hAnsiTheme="majorBidi" w:cstheme="majorBidi"/>
          <w:b/>
          <w:bCs/>
          <w:color w:val="5B9BD5" w:themeColor="accent5"/>
          <w:spacing w:val="-1"/>
          <w:sz w:val="48"/>
        </w:rPr>
        <w:t xml:space="preserve"> </w:t>
      </w:r>
      <w:proofErr w:type="spellStart"/>
      <w:r w:rsidR="00714709" w:rsidRPr="00714709">
        <w:rPr>
          <w:rFonts w:asciiTheme="majorBidi" w:eastAsia="Microsoft Sans Serif" w:hAnsiTheme="majorBidi" w:cstheme="majorBidi"/>
          <w:b/>
          <w:bCs/>
          <w:color w:val="5B9BD5" w:themeColor="accent5"/>
          <w:spacing w:val="-1"/>
          <w:sz w:val="48"/>
        </w:rPr>
        <w:t>Heba</w:t>
      </w:r>
      <w:proofErr w:type="spellEnd"/>
      <w:r w:rsidR="00714709" w:rsidRPr="00714709">
        <w:rPr>
          <w:rFonts w:asciiTheme="majorBidi" w:eastAsia="Microsoft Sans Serif" w:hAnsiTheme="majorBidi" w:cstheme="majorBidi"/>
          <w:b/>
          <w:bCs/>
          <w:color w:val="5B9BD5" w:themeColor="accent5"/>
          <w:spacing w:val="-1"/>
          <w:sz w:val="48"/>
        </w:rPr>
        <w:t xml:space="preserve"> Mohammad </w:t>
      </w:r>
      <w:proofErr w:type="spellStart"/>
      <w:r w:rsidR="00714709" w:rsidRPr="00714709">
        <w:rPr>
          <w:rFonts w:asciiTheme="majorBidi" w:eastAsia="Microsoft Sans Serif" w:hAnsiTheme="majorBidi" w:cstheme="majorBidi"/>
          <w:b/>
          <w:bCs/>
          <w:color w:val="5B9BD5" w:themeColor="accent5"/>
          <w:spacing w:val="-1"/>
          <w:sz w:val="48"/>
        </w:rPr>
        <w:t>Qubaisy</w:t>
      </w:r>
      <w:proofErr w:type="spellEnd"/>
    </w:p>
    <w:p w:rsidR="00714709" w:rsidRPr="00714709" w:rsidRDefault="00074956" w:rsidP="00714709">
      <w:pPr>
        <w:bidi w:val="0"/>
        <w:spacing w:after="0" w:line="240" w:lineRule="auto"/>
        <w:jc w:val="center"/>
        <w:rPr>
          <w:rFonts w:asciiTheme="majorBidi" w:eastAsia="Arial" w:hAnsiTheme="majorBidi" w:cstheme="majorBidi"/>
          <w:b/>
          <w:bCs/>
          <w:sz w:val="28"/>
          <w:szCs w:val="28"/>
          <w:lang w:bidi="en-US"/>
        </w:rPr>
      </w:pPr>
      <w:r w:rsidRPr="00F04C2F">
        <w:rPr>
          <w:rFonts w:asciiTheme="majorBidi" w:hAnsiTheme="majorBidi" w:cstheme="majorBidi"/>
        </w:rPr>
        <w:t xml:space="preserve"> </w:t>
      </w:r>
      <w:r w:rsidR="00714709">
        <w:rPr>
          <w:rFonts w:asciiTheme="majorBidi" w:eastAsia="Arial" w:hAnsiTheme="majorBidi" w:cstheme="majorBidi"/>
          <w:b/>
          <w:bCs/>
          <w:sz w:val="28"/>
          <w:szCs w:val="28"/>
          <w:lang w:bidi="en-US"/>
        </w:rPr>
        <w:t>Lecturer</w:t>
      </w:r>
      <w:r w:rsidR="00714709" w:rsidRPr="00F04C2F">
        <w:rPr>
          <w:rFonts w:asciiTheme="majorBidi" w:eastAsia="Arial" w:hAnsiTheme="majorBidi" w:cstheme="majorBidi"/>
          <w:b/>
          <w:bCs/>
          <w:sz w:val="28"/>
          <w:szCs w:val="28"/>
          <w:lang w:bidi="en-US"/>
        </w:rPr>
        <w:t xml:space="preserve"> of </w:t>
      </w:r>
      <w:r w:rsidR="00714709" w:rsidRPr="00714709">
        <w:rPr>
          <w:rFonts w:asciiTheme="majorBidi" w:eastAsia="Arial" w:hAnsiTheme="majorBidi" w:cstheme="majorBidi"/>
          <w:b/>
          <w:bCs/>
          <w:sz w:val="28"/>
          <w:szCs w:val="28"/>
          <w:lang w:bidi="en-US"/>
        </w:rPr>
        <w:t>Pediatric</w:t>
      </w:r>
    </w:p>
    <w:p w:rsidR="00714709" w:rsidRPr="00F04C2F" w:rsidRDefault="00714709" w:rsidP="00714709">
      <w:pPr>
        <w:bidi w:val="0"/>
        <w:spacing w:after="0" w:line="240" w:lineRule="auto"/>
        <w:jc w:val="center"/>
        <w:rPr>
          <w:rFonts w:asciiTheme="majorBidi" w:eastAsia="Arial" w:hAnsiTheme="majorBidi" w:cstheme="majorBidi"/>
          <w:b/>
          <w:bCs/>
          <w:sz w:val="28"/>
          <w:szCs w:val="28"/>
          <w:lang w:bidi="en-US"/>
        </w:rPr>
      </w:pPr>
      <w:r w:rsidRPr="00F04C2F">
        <w:rPr>
          <w:rFonts w:asciiTheme="majorBidi" w:eastAsia="Arial" w:hAnsiTheme="majorBidi" w:cstheme="majorBidi"/>
          <w:b/>
          <w:bCs/>
          <w:sz w:val="28"/>
          <w:szCs w:val="28"/>
          <w:lang w:bidi="en-US"/>
        </w:rPr>
        <w:t xml:space="preserve"> Faculty of Medicine</w:t>
      </w:r>
      <w:r>
        <w:rPr>
          <w:rFonts w:asciiTheme="majorBidi" w:eastAsia="Arial" w:hAnsiTheme="majorBidi" w:cstheme="majorBidi"/>
          <w:b/>
          <w:bCs/>
          <w:sz w:val="28"/>
          <w:szCs w:val="28"/>
          <w:lang w:bidi="en-US"/>
        </w:rPr>
        <w:t xml:space="preserve"> - </w:t>
      </w:r>
      <w:r w:rsidRPr="00F04C2F">
        <w:rPr>
          <w:rFonts w:asciiTheme="majorBidi" w:eastAsia="Arial" w:hAnsiTheme="majorBidi" w:cstheme="majorBidi"/>
          <w:b/>
          <w:bCs/>
          <w:sz w:val="28"/>
          <w:szCs w:val="28"/>
          <w:lang w:bidi="en-US"/>
        </w:rPr>
        <w:t>South Valley University</w:t>
      </w:r>
    </w:p>
    <w:p w:rsidR="0092311A" w:rsidRDefault="0092311A" w:rsidP="00714709">
      <w:pPr>
        <w:bidi w:val="0"/>
        <w:spacing w:after="0" w:line="240" w:lineRule="auto"/>
        <w:jc w:val="center"/>
        <w:rPr>
          <w:rFonts w:eastAsia="Arial" w:cstheme="minorHAnsi"/>
          <w:b/>
          <w:bCs/>
          <w:sz w:val="28"/>
          <w:szCs w:val="28"/>
          <w:lang w:bidi="en-US"/>
        </w:rPr>
      </w:pPr>
    </w:p>
    <w:p w:rsidR="00714709" w:rsidRDefault="00714709" w:rsidP="00714709">
      <w:pPr>
        <w:bidi w:val="0"/>
        <w:spacing w:after="0" w:line="240" w:lineRule="auto"/>
        <w:jc w:val="center"/>
        <w:rPr>
          <w:rFonts w:eastAsia="Arial" w:cstheme="minorHAnsi"/>
          <w:b/>
          <w:bCs/>
          <w:sz w:val="28"/>
          <w:szCs w:val="28"/>
          <w:lang w:bidi="en-US"/>
        </w:rPr>
      </w:pPr>
    </w:p>
    <w:p w:rsidR="0092311A" w:rsidRPr="001A143B" w:rsidRDefault="0092311A" w:rsidP="00714709">
      <w:pPr>
        <w:bidi w:val="0"/>
        <w:spacing w:after="0" w:line="240" w:lineRule="auto"/>
        <w:jc w:val="center"/>
        <w:rPr>
          <w:rFonts w:eastAsia="Arial" w:cstheme="minorHAnsi"/>
          <w:b/>
          <w:bCs/>
          <w:sz w:val="28"/>
          <w:szCs w:val="28"/>
          <w:lang w:bidi="en-US"/>
        </w:rPr>
      </w:pPr>
      <w:r w:rsidRPr="001A143B">
        <w:rPr>
          <w:rFonts w:eastAsia="Arial" w:cstheme="minorHAnsi"/>
          <w:b/>
          <w:bCs/>
          <w:sz w:val="28"/>
          <w:szCs w:val="28"/>
          <w:lang w:bidi="en-US"/>
        </w:rPr>
        <w:t xml:space="preserve">Faculty of Medicine </w:t>
      </w:r>
    </w:p>
    <w:p w:rsidR="0092311A" w:rsidRPr="001A143B" w:rsidRDefault="00074956" w:rsidP="00714709">
      <w:pPr>
        <w:bidi w:val="0"/>
        <w:spacing w:after="0" w:line="240" w:lineRule="auto"/>
        <w:jc w:val="center"/>
        <w:rPr>
          <w:rFonts w:eastAsia="Arial" w:cstheme="minorHAnsi"/>
          <w:b/>
          <w:bCs/>
          <w:sz w:val="28"/>
          <w:szCs w:val="28"/>
          <w:lang w:bidi="en-US"/>
        </w:rPr>
      </w:pPr>
      <w:r w:rsidRPr="00074956">
        <w:rPr>
          <w:rFonts w:eastAsia="Arial" w:cstheme="minorHAnsi"/>
          <w:b/>
          <w:bCs/>
          <w:sz w:val="28"/>
          <w:szCs w:val="28"/>
          <w:lang w:bidi="en-US"/>
        </w:rPr>
        <w:t>South Valley</w:t>
      </w:r>
      <w:r w:rsidRPr="001A143B">
        <w:rPr>
          <w:rFonts w:eastAsia="Arial" w:cstheme="minorHAnsi"/>
          <w:b/>
          <w:bCs/>
          <w:sz w:val="28"/>
          <w:szCs w:val="28"/>
          <w:lang w:bidi="en-US"/>
        </w:rPr>
        <w:t xml:space="preserve"> </w:t>
      </w:r>
      <w:r w:rsidR="0092311A" w:rsidRPr="001A143B">
        <w:rPr>
          <w:rFonts w:eastAsia="Arial" w:cstheme="minorHAnsi"/>
          <w:b/>
          <w:bCs/>
          <w:sz w:val="28"/>
          <w:szCs w:val="28"/>
          <w:lang w:bidi="en-US"/>
        </w:rPr>
        <w:t xml:space="preserve">University </w:t>
      </w:r>
    </w:p>
    <w:p w:rsidR="0092311A" w:rsidRPr="001A143B" w:rsidRDefault="0092311A" w:rsidP="00714709">
      <w:pPr>
        <w:bidi w:val="0"/>
        <w:spacing w:after="0" w:line="240" w:lineRule="auto"/>
        <w:jc w:val="center"/>
        <w:rPr>
          <w:rFonts w:eastAsia="Arial" w:cstheme="minorHAnsi"/>
          <w:b/>
          <w:bCs/>
          <w:sz w:val="28"/>
          <w:szCs w:val="28"/>
          <w:lang w:bidi="en-US"/>
        </w:rPr>
      </w:pPr>
      <w:r w:rsidRPr="001A143B">
        <w:rPr>
          <w:rFonts w:eastAsia="Arial" w:cstheme="minorHAnsi"/>
          <w:b/>
          <w:bCs/>
          <w:sz w:val="28"/>
          <w:szCs w:val="28"/>
          <w:lang w:bidi="en-US"/>
        </w:rPr>
        <w:t>202</w:t>
      </w:r>
      <w:r w:rsidR="00074956">
        <w:rPr>
          <w:rFonts w:eastAsia="Arial" w:cstheme="minorHAnsi"/>
          <w:b/>
          <w:bCs/>
          <w:sz w:val="28"/>
          <w:szCs w:val="28"/>
          <w:lang w:bidi="en-US"/>
        </w:rPr>
        <w:t>3</w:t>
      </w:r>
    </w:p>
    <w:p w:rsidR="0092311A" w:rsidRPr="00031F76" w:rsidRDefault="0092311A" w:rsidP="0092311A">
      <w:pPr>
        <w:spacing w:after="0" w:line="240" w:lineRule="auto"/>
        <w:jc w:val="center"/>
        <w:rPr>
          <w:rFonts w:asciiTheme="majorBidi" w:eastAsia="Times New Roman" w:hAnsiTheme="majorBidi" w:cstheme="majorBidi"/>
          <w:sz w:val="28"/>
          <w:szCs w:val="28"/>
        </w:rPr>
      </w:pPr>
    </w:p>
    <w:p w:rsidR="0092311A" w:rsidRDefault="0092311A" w:rsidP="0092311A">
      <w:pPr>
        <w:spacing w:after="0" w:line="240" w:lineRule="auto"/>
        <w:rPr>
          <w:rFonts w:asciiTheme="majorBidi" w:eastAsia="Times New Roman" w:hAnsiTheme="majorBidi" w:cstheme="majorBidi"/>
          <w:sz w:val="28"/>
          <w:szCs w:val="28"/>
        </w:rPr>
      </w:pPr>
    </w:p>
    <w:p w:rsidR="0092311A" w:rsidRDefault="0092311A" w:rsidP="0092311A">
      <w:pPr>
        <w:widowControl w:val="0"/>
        <w:autoSpaceDE w:val="0"/>
        <w:autoSpaceDN w:val="0"/>
        <w:spacing w:after="0"/>
        <w:jc w:val="center"/>
        <w:rPr>
          <w:rtl/>
        </w:rPr>
      </w:pPr>
      <w:bookmarkStart w:id="1" w:name="_Hlk111465851"/>
      <w:bookmarkEnd w:id="0"/>
    </w:p>
    <w:p w:rsidR="0092311A" w:rsidRDefault="0092311A" w:rsidP="0092311A">
      <w:pPr>
        <w:widowControl w:val="0"/>
        <w:autoSpaceDE w:val="0"/>
        <w:autoSpaceDN w:val="0"/>
        <w:bidi w:val="0"/>
        <w:spacing w:after="0" w:line="764" w:lineRule="exact"/>
        <w:rPr>
          <w:rFonts w:ascii="Times New Roman" w:eastAsia="Times New Roman" w:hAnsi="Times New Roman" w:cs="Times New Roman"/>
          <w:b/>
          <w:bCs/>
          <w:i/>
          <w:color w:val="1E04BC"/>
          <w:sz w:val="68"/>
        </w:rPr>
        <w:sectPr w:rsidR="0092311A" w:rsidSect="004371C0">
          <w:pgSz w:w="11907" w:h="16839" w:code="9"/>
          <w:pgMar w:top="1701" w:right="1701" w:bottom="1701" w:left="1701" w:header="1134" w:footer="1134" w:gutter="0"/>
          <w:cols w:space="720"/>
          <w:bidi/>
          <w:rtlGutter/>
          <w:docGrid w:linePitch="360"/>
        </w:sectPr>
      </w:pPr>
      <w:r>
        <w:rPr>
          <w:noProof/>
          <w:sz w:val="20"/>
        </w:rPr>
        <w:lastRenderedPageBreak/>
        <w:drawing>
          <wp:anchor distT="0" distB="0" distL="114300" distR="114300" simplePos="0" relativeHeight="251660288" behindDoc="0" locked="0" layoutInCell="1" allowOverlap="1" wp14:anchorId="27AA1F9E" wp14:editId="448BC5E4">
            <wp:simplePos x="0" y="0"/>
            <wp:positionH relativeFrom="column">
              <wp:posOffset>139065</wp:posOffset>
            </wp:positionH>
            <wp:positionV relativeFrom="paragraph">
              <wp:posOffset>520065</wp:posOffset>
            </wp:positionV>
            <wp:extent cx="5400675" cy="7352665"/>
            <wp:effectExtent l="0" t="0" r="9525" b="635"/>
            <wp:wrapSquare wrapText="bothSides"/>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7352665"/>
                    </a:xfrm>
                    <a:prstGeom prst="rect">
                      <a:avLst/>
                    </a:prstGeom>
                  </pic:spPr>
                </pic:pic>
              </a:graphicData>
            </a:graphic>
          </wp:anchor>
        </w:drawing>
      </w:r>
    </w:p>
    <w:p w:rsidR="0092311A" w:rsidRPr="00C3083A" w:rsidRDefault="0092311A" w:rsidP="0092311A">
      <w:pPr>
        <w:widowControl w:val="0"/>
        <w:autoSpaceDE w:val="0"/>
        <w:autoSpaceDN w:val="0"/>
        <w:bidi w:val="0"/>
        <w:spacing w:after="0" w:line="764" w:lineRule="exact"/>
        <w:ind w:firstLine="540"/>
        <w:jc w:val="center"/>
        <w:rPr>
          <w:rFonts w:ascii="Times New Roman" w:eastAsia="Times New Roman" w:hAnsi="Times New Roman" w:cs="Times New Roman"/>
          <w:b/>
          <w:bCs/>
          <w:i/>
          <w:color w:val="1E04BC"/>
          <w:sz w:val="68"/>
        </w:rPr>
      </w:pPr>
      <w:bookmarkStart w:id="2" w:name="_Hlk110383570"/>
      <w:r w:rsidRPr="00C3083A">
        <w:rPr>
          <w:rFonts w:ascii="Times New Roman" w:eastAsia="Times New Roman" w:hAnsi="Times New Roman" w:cs="Times New Roman"/>
          <w:b/>
          <w:bCs/>
          <w:i/>
          <w:color w:val="1E04BC"/>
          <w:sz w:val="68"/>
        </w:rPr>
        <w:lastRenderedPageBreak/>
        <w:t>Acknowledgement</w:t>
      </w:r>
    </w:p>
    <w:p w:rsidR="0092311A" w:rsidRDefault="0092311A" w:rsidP="0092311A">
      <w:pPr>
        <w:bidi w:val="0"/>
        <w:spacing w:before="120" w:after="0" w:line="240" w:lineRule="auto"/>
        <w:jc w:val="center"/>
        <w:rPr>
          <w:rFonts w:ascii="Times New Roman" w:eastAsia="Times New Roman" w:hAnsi="Times New Roman" w:cs="Times New Roman"/>
          <w:noProof/>
        </w:rPr>
      </w:pPr>
    </w:p>
    <w:p w:rsidR="0092311A" w:rsidRPr="000C3059" w:rsidRDefault="0092311A" w:rsidP="0092311A">
      <w:pPr>
        <w:bidi w:val="0"/>
        <w:spacing w:before="120" w:after="0" w:line="240" w:lineRule="auto"/>
        <w:jc w:val="center"/>
        <w:rPr>
          <w:rFonts w:ascii="Times New Roman" w:eastAsia="Times New Roman" w:hAnsi="Times New Roman" w:cs="Times New Roman"/>
          <w:sz w:val="32"/>
          <w:szCs w:val="32"/>
        </w:rPr>
      </w:pPr>
      <w:r w:rsidRPr="00C3083A">
        <w:rPr>
          <w:rFonts w:ascii="Times New Roman" w:eastAsia="Times New Roman" w:hAnsi="Times New Roman" w:cs="Times New Roman"/>
          <w:noProof/>
        </w:rPr>
        <w:drawing>
          <wp:anchor distT="0" distB="0" distL="114300" distR="114300" simplePos="0" relativeHeight="251659264" behindDoc="1" locked="0" layoutInCell="1" allowOverlap="1" wp14:anchorId="41339F55" wp14:editId="7474621B">
            <wp:simplePos x="0" y="0"/>
            <wp:positionH relativeFrom="column">
              <wp:posOffset>-1367155</wp:posOffset>
            </wp:positionH>
            <wp:positionV relativeFrom="paragraph">
              <wp:posOffset>-2000885</wp:posOffset>
            </wp:positionV>
            <wp:extent cx="8201025" cy="11389995"/>
            <wp:effectExtent l="0" t="0" r="9525" b="1905"/>
            <wp:wrapNone/>
            <wp:docPr id="26" name="Picture 1" descr="Description: FLR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LR 015"/>
                    <pic:cNvPicPr>
                      <a:picLocks noChangeAspect="1" noChangeArrowheads="1"/>
                    </pic:cNvPicPr>
                  </pic:nvPicPr>
                  <pic:blipFill>
                    <a:blip r:embed="rId13" cstate="print">
                      <a:lum bright="46000" contrast="-58000"/>
                      <a:extLst>
                        <a:ext uri="{28A0092B-C50C-407E-A947-70E740481C1C}">
                          <a14:useLocalDpi xmlns:a14="http://schemas.microsoft.com/office/drawing/2010/main" val="0"/>
                        </a:ext>
                      </a:extLst>
                    </a:blip>
                    <a:srcRect/>
                    <a:stretch>
                      <a:fillRect/>
                    </a:stretch>
                  </pic:blipFill>
                  <pic:spPr bwMode="auto">
                    <a:xfrm>
                      <a:off x="0" y="0"/>
                      <a:ext cx="8201025" cy="11389995"/>
                    </a:xfrm>
                    <a:prstGeom prst="rect">
                      <a:avLst/>
                    </a:prstGeom>
                    <a:noFill/>
                  </pic:spPr>
                </pic:pic>
              </a:graphicData>
            </a:graphic>
          </wp:anchor>
        </w:drawing>
      </w:r>
      <w:r w:rsidRPr="000C3059">
        <w:rPr>
          <w:rFonts w:ascii="Times New Roman" w:eastAsia="Times New Roman" w:hAnsi="Times New Roman" w:cs="Times New Roman"/>
          <w:sz w:val="32"/>
          <w:szCs w:val="32"/>
        </w:rPr>
        <w:t xml:space="preserve">First of all, thanks </w:t>
      </w:r>
      <w:r w:rsidRPr="008533C8">
        <w:rPr>
          <w:rFonts w:ascii="Times New Roman" w:eastAsia="Times New Roman" w:hAnsi="Times New Roman" w:cs="Times New Roman"/>
          <w:color w:val="44546A" w:themeColor="text2"/>
          <w:sz w:val="32"/>
          <w:szCs w:val="32"/>
        </w:rPr>
        <w:t>GOD</w:t>
      </w:r>
      <w:r w:rsidRPr="000C3059">
        <w:rPr>
          <w:rFonts w:ascii="Times New Roman" w:eastAsia="Times New Roman" w:hAnsi="Times New Roman" w:cs="Times New Roman"/>
          <w:sz w:val="32"/>
          <w:szCs w:val="32"/>
        </w:rPr>
        <w:t xml:space="preserve">, the merciful, the beneficent for helping me during this work. </w:t>
      </w:r>
    </w:p>
    <w:p w:rsidR="0092311A" w:rsidRDefault="0092311A" w:rsidP="0092311A">
      <w:pPr>
        <w:widowControl w:val="0"/>
        <w:autoSpaceDE w:val="0"/>
        <w:autoSpaceDN w:val="0"/>
        <w:bidi w:val="0"/>
        <w:spacing w:after="0" w:line="240" w:lineRule="auto"/>
        <w:ind w:firstLine="540"/>
        <w:jc w:val="both"/>
        <w:rPr>
          <w:rFonts w:ascii="Times New Roman" w:eastAsia="Times New Roman" w:hAnsi="Times New Roman" w:cs="Times New Roman"/>
          <w:sz w:val="32"/>
          <w:szCs w:val="32"/>
        </w:rPr>
      </w:pPr>
    </w:p>
    <w:p w:rsidR="0092311A" w:rsidRPr="00714709" w:rsidRDefault="0092311A" w:rsidP="00714709">
      <w:pPr>
        <w:bidi w:val="0"/>
        <w:spacing w:after="0" w:line="240" w:lineRule="auto"/>
        <w:jc w:val="both"/>
        <w:rPr>
          <w:rFonts w:ascii="Times New Roman" w:eastAsia="Times New Roman" w:hAnsi="Times New Roman" w:cs="Times New Roman"/>
          <w:sz w:val="32"/>
          <w:szCs w:val="32"/>
        </w:rPr>
      </w:pPr>
      <w:r w:rsidRPr="000C3059">
        <w:rPr>
          <w:rFonts w:ascii="Times New Roman" w:eastAsia="Times New Roman" w:hAnsi="Times New Roman" w:cs="Times New Roman"/>
          <w:sz w:val="32"/>
          <w:szCs w:val="32"/>
        </w:rPr>
        <w:t xml:space="preserve">I would like to express my indebtedness and deepest gratitude </w:t>
      </w:r>
      <w:r w:rsidRPr="00762B41">
        <w:rPr>
          <w:rFonts w:ascii="Times New Roman" w:eastAsia="Times New Roman" w:hAnsi="Times New Roman" w:cs="Times New Roman"/>
          <w:sz w:val="32"/>
          <w:szCs w:val="32"/>
        </w:rPr>
        <w:t xml:space="preserve">to </w:t>
      </w:r>
      <w:r w:rsidR="00714709">
        <w:rPr>
          <w:rFonts w:ascii="Times New Roman" w:eastAsia="Times New Roman" w:hAnsi="Times New Roman" w:cs="Times New Roman"/>
          <w:b/>
          <w:bCs/>
          <w:color w:val="FF0000"/>
          <w:sz w:val="32"/>
          <w:szCs w:val="32"/>
        </w:rPr>
        <w:t>Prof</w:t>
      </w:r>
      <w:r w:rsidRPr="0072181B">
        <w:rPr>
          <w:rFonts w:ascii="Times New Roman" w:eastAsia="Times New Roman" w:hAnsi="Times New Roman" w:cs="Times New Roman"/>
          <w:b/>
          <w:bCs/>
          <w:color w:val="FF0000"/>
          <w:sz w:val="32"/>
          <w:szCs w:val="32"/>
        </w:rPr>
        <w:t xml:space="preserve">. </w:t>
      </w:r>
      <w:r w:rsidR="00714709" w:rsidRPr="00714709">
        <w:rPr>
          <w:rFonts w:ascii="Times New Roman" w:eastAsia="Times New Roman" w:hAnsi="Times New Roman" w:cs="Times New Roman"/>
          <w:b/>
          <w:bCs/>
          <w:color w:val="FF0000"/>
          <w:sz w:val="32"/>
          <w:szCs w:val="32"/>
        </w:rPr>
        <w:t xml:space="preserve">Samira Mohamed </w:t>
      </w:r>
      <w:proofErr w:type="spellStart"/>
      <w:r w:rsidR="00714709" w:rsidRPr="00714709">
        <w:rPr>
          <w:rFonts w:ascii="Times New Roman" w:eastAsia="Times New Roman" w:hAnsi="Times New Roman" w:cs="Times New Roman"/>
          <w:b/>
          <w:bCs/>
          <w:color w:val="FF0000"/>
          <w:sz w:val="32"/>
          <w:szCs w:val="32"/>
        </w:rPr>
        <w:t>Saleh</w:t>
      </w:r>
      <w:proofErr w:type="spellEnd"/>
      <w:r>
        <w:rPr>
          <w:rFonts w:ascii="Times New Roman" w:eastAsia="Times New Roman" w:hAnsi="Times New Roman" w:cs="Times New Roman"/>
          <w:b/>
          <w:bCs/>
          <w:color w:val="FF0000"/>
          <w:sz w:val="32"/>
          <w:szCs w:val="32"/>
        </w:rPr>
        <w:t xml:space="preserve">, </w:t>
      </w:r>
      <w:r w:rsidR="00714709" w:rsidRPr="00714709">
        <w:rPr>
          <w:rFonts w:ascii="Times New Roman" w:eastAsia="Times New Roman" w:hAnsi="Times New Roman" w:cs="Times New Roman"/>
          <w:sz w:val="32"/>
          <w:szCs w:val="32"/>
        </w:rPr>
        <w:t>Professor of Forensic medicine and Clinical Toxicology, Faculty of Medicine - South Valley University</w:t>
      </w:r>
      <w:r w:rsidRPr="0072181B">
        <w:rPr>
          <w:rFonts w:ascii="Times New Roman" w:eastAsia="Times New Roman" w:hAnsi="Times New Roman" w:cs="Times New Roman"/>
          <w:sz w:val="32"/>
          <w:szCs w:val="32"/>
        </w:rPr>
        <w:t>,</w:t>
      </w:r>
      <w:r w:rsidRPr="000C3059">
        <w:rPr>
          <w:rFonts w:ascii="Times New Roman" w:eastAsia="Times New Roman" w:hAnsi="Times New Roman" w:cs="Times New Roman"/>
          <w:sz w:val="32"/>
          <w:szCs w:val="32"/>
        </w:rPr>
        <w:t xml:space="preserve"> for </w:t>
      </w:r>
      <w:r w:rsidR="00714709">
        <w:rPr>
          <w:rFonts w:ascii="Times New Roman" w:eastAsia="Times New Roman" w:hAnsi="Times New Roman" w:cs="Times New Roman"/>
          <w:sz w:val="32"/>
          <w:szCs w:val="32"/>
        </w:rPr>
        <w:t>her</w:t>
      </w:r>
      <w:r w:rsidRPr="000C3059">
        <w:rPr>
          <w:rFonts w:ascii="Times New Roman" w:eastAsia="Times New Roman" w:hAnsi="Times New Roman" w:cs="Times New Roman"/>
          <w:sz w:val="32"/>
          <w:szCs w:val="32"/>
        </w:rPr>
        <w:t xml:space="preserve"> valuable advice, guidance and constructive criticism, also for the invaluable assistance and efforts </w:t>
      </w:r>
      <w:r w:rsidR="00714709">
        <w:rPr>
          <w:rFonts w:ascii="Times New Roman" w:eastAsia="Times New Roman" w:hAnsi="Times New Roman" w:cs="Times New Roman"/>
          <w:sz w:val="32"/>
          <w:szCs w:val="32"/>
        </w:rPr>
        <w:t>s</w:t>
      </w:r>
      <w:r w:rsidRPr="00BB52A6">
        <w:rPr>
          <w:rFonts w:ascii="Times New Roman" w:eastAsia="Times New Roman" w:hAnsi="Times New Roman" w:cs="Times New Roman"/>
          <w:sz w:val="32"/>
          <w:szCs w:val="32"/>
        </w:rPr>
        <w:t>he</w:t>
      </w:r>
      <w:r w:rsidRPr="000C3059">
        <w:rPr>
          <w:rFonts w:ascii="Times New Roman" w:eastAsia="Times New Roman" w:hAnsi="Times New Roman" w:cs="Times New Roman"/>
          <w:sz w:val="32"/>
          <w:szCs w:val="32"/>
        </w:rPr>
        <w:t xml:space="preserve"> devoted in the supervision of this study.</w:t>
      </w:r>
    </w:p>
    <w:p w:rsidR="0092311A" w:rsidRDefault="0092311A" w:rsidP="0092311A">
      <w:pPr>
        <w:widowControl w:val="0"/>
        <w:autoSpaceDE w:val="0"/>
        <w:autoSpaceDN w:val="0"/>
        <w:bidi w:val="0"/>
        <w:spacing w:after="0" w:line="240" w:lineRule="auto"/>
        <w:ind w:firstLine="540"/>
        <w:jc w:val="both"/>
        <w:rPr>
          <w:rFonts w:ascii="Times New Roman" w:eastAsia="Times New Roman" w:hAnsi="Times New Roman" w:cs="Times New Roman"/>
          <w:sz w:val="32"/>
          <w:szCs w:val="32"/>
        </w:rPr>
      </w:pPr>
    </w:p>
    <w:p w:rsidR="0092311A" w:rsidRDefault="0092311A" w:rsidP="0092311A">
      <w:pPr>
        <w:bidi w:val="0"/>
        <w:spacing w:after="0" w:line="240" w:lineRule="auto"/>
        <w:jc w:val="both"/>
        <w:rPr>
          <w:rFonts w:ascii="Times New Roman" w:eastAsia="Times New Roman" w:hAnsi="Times New Roman" w:cs="Times New Roman"/>
          <w:sz w:val="32"/>
          <w:szCs w:val="32"/>
        </w:rPr>
      </w:pPr>
      <w:r w:rsidRPr="0072181B">
        <w:rPr>
          <w:rFonts w:asciiTheme="majorBidi" w:hAnsiTheme="majorBidi" w:cstheme="majorBidi"/>
          <w:sz w:val="32"/>
          <w:szCs w:val="32"/>
        </w:rPr>
        <w:t xml:space="preserve">I’ll never forget, how co-operative was </w:t>
      </w:r>
      <w:r w:rsidRPr="0072181B">
        <w:rPr>
          <w:rFonts w:asciiTheme="majorBidi" w:eastAsia="Times New Roman" w:hAnsiTheme="majorBidi" w:cstheme="majorBidi"/>
          <w:b/>
          <w:bCs/>
          <w:color w:val="FF0000"/>
          <w:sz w:val="32"/>
          <w:szCs w:val="32"/>
        </w:rPr>
        <w:t xml:space="preserve">Dr. </w:t>
      </w:r>
      <w:r w:rsidR="00714709" w:rsidRPr="00714709">
        <w:rPr>
          <w:rFonts w:asciiTheme="majorBidi" w:eastAsia="Times New Roman" w:hAnsiTheme="majorBidi" w:cstheme="majorBidi"/>
          <w:b/>
          <w:bCs/>
          <w:color w:val="FF0000"/>
          <w:sz w:val="32"/>
          <w:szCs w:val="32"/>
        </w:rPr>
        <w:t xml:space="preserve">Mohamed </w:t>
      </w:r>
      <w:proofErr w:type="spellStart"/>
      <w:r w:rsidR="00714709" w:rsidRPr="00714709">
        <w:rPr>
          <w:rFonts w:asciiTheme="majorBidi" w:eastAsia="Times New Roman" w:hAnsiTheme="majorBidi" w:cstheme="majorBidi"/>
          <w:b/>
          <w:bCs/>
          <w:color w:val="FF0000"/>
          <w:sz w:val="32"/>
          <w:szCs w:val="32"/>
        </w:rPr>
        <w:t>Awad</w:t>
      </w:r>
      <w:proofErr w:type="spellEnd"/>
      <w:r w:rsidR="00714709" w:rsidRPr="00714709">
        <w:rPr>
          <w:rFonts w:asciiTheme="majorBidi" w:eastAsia="Times New Roman" w:hAnsiTheme="majorBidi" w:cstheme="majorBidi"/>
          <w:b/>
          <w:bCs/>
          <w:color w:val="FF0000"/>
          <w:sz w:val="32"/>
          <w:szCs w:val="32"/>
        </w:rPr>
        <w:t xml:space="preserve"> </w:t>
      </w:r>
      <w:proofErr w:type="spellStart"/>
      <w:r w:rsidR="00714709" w:rsidRPr="00714709">
        <w:rPr>
          <w:rFonts w:asciiTheme="majorBidi" w:eastAsia="Times New Roman" w:hAnsiTheme="majorBidi" w:cstheme="majorBidi"/>
          <w:b/>
          <w:bCs/>
          <w:color w:val="FF0000"/>
          <w:sz w:val="32"/>
          <w:szCs w:val="32"/>
        </w:rPr>
        <w:t>Abd</w:t>
      </w:r>
      <w:proofErr w:type="spellEnd"/>
      <w:r w:rsidR="00714709" w:rsidRPr="00714709">
        <w:rPr>
          <w:rFonts w:asciiTheme="majorBidi" w:eastAsia="Times New Roman" w:hAnsiTheme="majorBidi" w:cstheme="majorBidi"/>
          <w:b/>
          <w:bCs/>
          <w:color w:val="FF0000"/>
          <w:sz w:val="32"/>
          <w:szCs w:val="32"/>
        </w:rPr>
        <w:t xml:space="preserve"> El </w:t>
      </w:r>
      <w:proofErr w:type="spellStart"/>
      <w:r w:rsidR="00714709" w:rsidRPr="00714709">
        <w:rPr>
          <w:rFonts w:asciiTheme="majorBidi" w:eastAsia="Times New Roman" w:hAnsiTheme="majorBidi" w:cstheme="majorBidi"/>
          <w:b/>
          <w:bCs/>
          <w:color w:val="FF0000"/>
          <w:sz w:val="32"/>
          <w:szCs w:val="32"/>
        </w:rPr>
        <w:t>Ati</w:t>
      </w:r>
      <w:proofErr w:type="spellEnd"/>
      <w:r w:rsidRPr="00714709">
        <w:rPr>
          <w:rFonts w:asciiTheme="majorBidi" w:eastAsia="Times New Roman" w:hAnsiTheme="majorBidi" w:cstheme="majorBidi"/>
          <w:b/>
          <w:bCs/>
          <w:color w:val="FF0000"/>
          <w:sz w:val="32"/>
          <w:szCs w:val="32"/>
        </w:rPr>
        <w:t>,</w:t>
      </w:r>
      <w:r w:rsidRPr="0072181B">
        <w:rPr>
          <w:rFonts w:asciiTheme="majorBidi" w:eastAsia="Microsoft Sans Serif" w:hAnsiTheme="majorBidi" w:cstheme="majorBidi"/>
          <w:b/>
          <w:bCs/>
          <w:color w:val="5B9BD5" w:themeColor="accent5"/>
          <w:spacing w:val="-1"/>
          <w:sz w:val="48"/>
        </w:rPr>
        <w:t xml:space="preserve"> </w:t>
      </w:r>
      <w:r w:rsidR="00714709">
        <w:rPr>
          <w:rFonts w:ascii="Times New Roman" w:eastAsia="Times New Roman" w:hAnsi="Times New Roman" w:cs="Times New Roman"/>
          <w:sz w:val="32"/>
          <w:szCs w:val="32"/>
        </w:rPr>
        <w:t>Lecturer</w:t>
      </w:r>
      <w:r w:rsidR="00714709" w:rsidRPr="00714709">
        <w:rPr>
          <w:rFonts w:ascii="Times New Roman" w:eastAsia="Times New Roman" w:hAnsi="Times New Roman" w:cs="Times New Roman"/>
          <w:sz w:val="32"/>
          <w:szCs w:val="32"/>
        </w:rPr>
        <w:t xml:space="preserve"> of Clinical Toxicology, Faculty of Medicine - South Valley University</w:t>
      </w:r>
      <w:r w:rsidRPr="00233245">
        <w:rPr>
          <w:rFonts w:ascii="Times New Roman" w:eastAsia="Times New Roman" w:hAnsi="Times New Roman" w:cs="Times New Roman"/>
          <w:sz w:val="32"/>
          <w:szCs w:val="32"/>
        </w:rPr>
        <w:t>, also he was encouraging all the time. It is honorable to be supervised by him.</w:t>
      </w:r>
    </w:p>
    <w:p w:rsidR="00233245" w:rsidRDefault="00233245" w:rsidP="00233245">
      <w:pPr>
        <w:bidi w:val="0"/>
        <w:spacing w:after="0" w:line="240" w:lineRule="auto"/>
        <w:jc w:val="both"/>
        <w:rPr>
          <w:rFonts w:ascii="Times New Roman" w:eastAsia="Times New Roman" w:hAnsi="Times New Roman" w:cs="Times New Roman"/>
          <w:sz w:val="32"/>
          <w:szCs w:val="32"/>
        </w:rPr>
      </w:pPr>
    </w:p>
    <w:p w:rsidR="00233245" w:rsidRPr="00233245" w:rsidRDefault="00233245" w:rsidP="00233245">
      <w:pPr>
        <w:bidi w:val="0"/>
        <w:spacing w:after="0" w:line="240" w:lineRule="auto"/>
        <w:jc w:val="both"/>
        <w:rPr>
          <w:rFonts w:ascii="Times New Roman" w:eastAsia="Times New Roman" w:hAnsi="Times New Roman" w:cs="Times New Roman"/>
          <w:sz w:val="32"/>
          <w:szCs w:val="32"/>
        </w:rPr>
      </w:pPr>
      <w:r w:rsidRPr="00233245">
        <w:rPr>
          <w:rFonts w:ascii="Times New Roman" w:eastAsia="Times New Roman" w:hAnsi="Times New Roman" w:cs="Times New Roman"/>
          <w:sz w:val="32"/>
          <w:szCs w:val="32"/>
        </w:rPr>
        <w:t xml:space="preserve">I would like also, to express my great thanks to </w:t>
      </w:r>
      <w:proofErr w:type="spellStart"/>
      <w:r w:rsidRPr="00714709">
        <w:rPr>
          <w:rFonts w:asciiTheme="majorBidi" w:eastAsia="Times New Roman" w:hAnsiTheme="majorBidi" w:cstheme="majorBidi"/>
          <w:b/>
          <w:bCs/>
          <w:color w:val="FF0000"/>
          <w:sz w:val="32"/>
          <w:szCs w:val="32"/>
        </w:rPr>
        <w:t>Dr</w:t>
      </w:r>
      <w:proofErr w:type="spellEnd"/>
      <w:r w:rsidRPr="00714709">
        <w:rPr>
          <w:rFonts w:asciiTheme="majorBidi" w:eastAsia="Times New Roman" w:hAnsiTheme="majorBidi" w:cstheme="majorBidi" w:hint="cs"/>
          <w:b/>
          <w:bCs/>
          <w:color w:val="FF0000"/>
          <w:sz w:val="32"/>
          <w:szCs w:val="32"/>
          <w:rtl/>
        </w:rPr>
        <w:t>.</w:t>
      </w:r>
      <w:r w:rsidRPr="00714709">
        <w:rPr>
          <w:rFonts w:asciiTheme="majorBidi" w:eastAsia="Times New Roman" w:hAnsiTheme="majorBidi" w:cstheme="majorBidi"/>
          <w:b/>
          <w:bCs/>
          <w:color w:val="FF0000"/>
          <w:sz w:val="32"/>
          <w:szCs w:val="32"/>
        </w:rPr>
        <w:t xml:space="preserve"> </w:t>
      </w:r>
      <w:proofErr w:type="spellStart"/>
      <w:r w:rsidR="00714709" w:rsidRPr="00714709">
        <w:rPr>
          <w:rFonts w:asciiTheme="majorBidi" w:eastAsia="Times New Roman" w:hAnsiTheme="majorBidi" w:cstheme="majorBidi"/>
          <w:b/>
          <w:bCs/>
          <w:color w:val="FF0000"/>
          <w:sz w:val="32"/>
          <w:szCs w:val="32"/>
        </w:rPr>
        <w:t>Heba</w:t>
      </w:r>
      <w:proofErr w:type="spellEnd"/>
      <w:r w:rsidR="00714709" w:rsidRPr="00714709">
        <w:rPr>
          <w:rFonts w:asciiTheme="majorBidi" w:eastAsia="Times New Roman" w:hAnsiTheme="majorBidi" w:cstheme="majorBidi"/>
          <w:b/>
          <w:bCs/>
          <w:color w:val="FF0000"/>
          <w:sz w:val="32"/>
          <w:szCs w:val="32"/>
        </w:rPr>
        <w:t xml:space="preserve"> Mohammad </w:t>
      </w:r>
      <w:proofErr w:type="spellStart"/>
      <w:r w:rsidR="00714709" w:rsidRPr="00714709">
        <w:rPr>
          <w:rFonts w:asciiTheme="majorBidi" w:eastAsia="Times New Roman" w:hAnsiTheme="majorBidi" w:cstheme="majorBidi"/>
          <w:b/>
          <w:bCs/>
          <w:color w:val="FF0000"/>
          <w:sz w:val="32"/>
          <w:szCs w:val="32"/>
        </w:rPr>
        <w:t>Qubaisy</w:t>
      </w:r>
      <w:proofErr w:type="spellEnd"/>
      <w:r w:rsidRPr="00714709">
        <w:rPr>
          <w:rFonts w:asciiTheme="majorBidi" w:eastAsia="Times New Roman" w:hAnsiTheme="majorBidi" w:cstheme="majorBidi"/>
          <w:b/>
          <w:bCs/>
          <w:color w:val="FF0000"/>
          <w:sz w:val="32"/>
          <w:szCs w:val="32"/>
        </w:rPr>
        <w:t xml:space="preserve">, </w:t>
      </w:r>
      <w:r w:rsidR="00714709">
        <w:rPr>
          <w:rFonts w:ascii="Times New Roman" w:eastAsia="Times New Roman" w:hAnsi="Times New Roman" w:cs="Times New Roman"/>
          <w:sz w:val="32"/>
          <w:szCs w:val="32"/>
        </w:rPr>
        <w:t>Lecturer</w:t>
      </w:r>
      <w:r w:rsidR="00714709" w:rsidRPr="00714709">
        <w:rPr>
          <w:rFonts w:ascii="Times New Roman" w:eastAsia="Times New Roman" w:hAnsi="Times New Roman" w:cs="Times New Roman"/>
          <w:sz w:val="32"/>
          <w:szCs w:val="32"/>
        </w:rPr>
        <w:t xml:space="preserve"> of Pediatric, </w:t>
      </w:r>
      <w:proofErr w:type="gramStart"/>
      <w:r w:rsidR="00714709" w:rsidRPr="00714709">
        <w:rPr>
          <w:rFonts w:ascii="Times New Roman" w:eastAsia="Times New Roman" w:hAnsi="Times New Roman" w:cs="Times New Roman"/>
          <w:sz w:val="32"/>
          <w:szCs w:val="32"/>
        </w:rPr>
        <w:t>Faculty</w:t>
      </w:r>
      <w:proofErr w:type="gramEnd"/>
      <w:r w:rsidR="00714709" w:rsidRPr="00714709">
        <w:rPr>
          <w:rFonts w:ascii="Times New Roman" w:eastAsia="Times New Roman" w:hAnsi="Times New Roman" w:cs="Times New Roman"/>
          <w:sz w:val="32"/>
          <w:szCs w:val="32"/>
        </w:rPr>
        <w:t xml:space="preserve"> of Medicine - South Valley University</w:t>
      </w:r>
      <w:r w:rsidRPr="00233245">
        <w:rPr>
          <w:rFonts w:ascii="Times New Roman" w:eastAsia="Times New Roman" w:hAnsi="Times New Roman" w:cs="Times New Roman"/>
          <w:sz w:val="32"/>
          <w:szCs w:val="32"/>
        </w:rPr>
        <w:t xml:space="preserve">. </w:t>
      </w:r>
      <w:r w:rsidR="00714709">
        <w:rPr>
          <w:rFonts w:ascii="Times New Roman" w:eastAsia="Times New Roman" w:hAnsi="Times New Roman" w:cs="Times New Roman"/>
          <w:sz w:val="32"/>
          <w:szCs w:val="32"/>
        </w:rPr>
        <w:t>Her</w:t>
      </w:r>
      <w:r w:rsidRPr="00233245">
        <w:rPr>
          <w:rFonts w:ascii="Times New Roman" w:eastAsia="Times New Roman" w:hAnsi="Times New Roman" w:cs="Times New Roman"/>
          <w:sz w:val="32"/>
          <w:szCs w:val="32"/>
        </w:rPr>
        <w:t xml:space="preserve"> valuable advises and continuous support facilitated completing this work.</w:t>
      </w:r>
    </w:p>
    <w:p w:rsidR="00233245" w:rsidRPr="00233245" w:rsidRDefault="00233245" w:rsidP="00233245">
      <w:pPr>
        <w:bidi w:val="0"/>
        <w:spacing w:after="0" w:line="240" w:lineRule="auto"/>
        <w:jc w:val="both"/>
        <w:rPr>
          <w:rFonts w:ascii="Times New Roman" w:eastAsia="Times New Roman" w:hAnsi="Times New Roman" w:cs="Times New Roman"/>
          <w:sz w:val="32"/>
          <w:szCs w:val="32"/>
        </w:rPr>
      </w:pPr>
    </w:p>
    <w:p w:rsidR="0092311A" w:rsidRDefault="0092311A" w:rsidP="0092311A">
      <w:pPr>
        <w:pStyle w:val="TableParagraph"/>
        <w:spacing w:before="32"/>
        <w:ind w:left="0" w:right="45" w:firstLine="340"/>
        <w:jc w:val="both"/>
        <w:rPr>
          <w:sz w:val="32"/>
          <w:szCs w:val="32"/>
          <w:lang w:bidi="ar-SA"/>
        </w:rPr>
      </w:pPr>
    </w:p>
    <w:p w:rsidR="0092311A" w:rsidRPr="006B0CE8" w:rsidRDefault="0092311A" w:rsidP="0092311A">
      <w:pPr>
        <w:widowControl w:val="0"/>
        <w:autoSpaceDE w:val="0"/>
        <w:autoSpaceDN w:val="0"/>
        <w:bidi w:val="0"/>
        <w:spacing w:after="0" w:line="240" w:lineRule="auto"/>
        <w:jc w:val="both"/>
        <w:rPr>
          <w:rFonts w:ascii="Times New Roman" w:eastAsia="Times New Roman" w:hAnsi="Times New Roman" w:cs="Times New Roman"/>
          <w:sz w:val="32"/>
          <w:szCs w:val="32"/>
          <w:rtl/>
        </w:rPr>
      </w:pPr>
    </w:p>
    <w:p w:rsidR="0092311A" w:rsidRDefault="0092311A" w:rsidP="0092311A">
      <w:pPr>
        <w:widowControl w:val="0"/>
        <w:autoSpaceDE w:val="0"/>
        <w:autoSpaceDN w:val="0"/>
        <w:bidi w:val="0"/>
        <w:spacing w:after="0" w:line="240" w:lineRule="auto"/>
        <w:ind w:firstLine="540"/>
        <w:jc w:val="both"/>
        <w:rPr>
          <w:rFonts w:ascii="Times New Roman" w:eastAsia="Times New Roman" w:hAnsi="Times New Roman" w:cs="Times New Roman"/>
          <w:sz w:val="32"/>
          <w:szCs w:val="32"/>
        </w:rPr>
      </w:pPr>
      <w:r w:rsidRPr="000C3059">
        <w:rPr>
          <w:rFonts w:ascii="Times New Roman" w:eastAsia="Times New Roman" w:hAnsi="Times New Roman" w:cs="Times New Roman"/>
          <w:sz w:val="32"/>
          <w:szCs w:val="32"/>
        </w:rPr>
        <w:t>Finally, I would like to express my appreciation and gratitude to all my family, especially my ca</w:t>
      </w:r>
      <w:r w:rsidRPr="00696D38">
        <w:rPr>
          <w:rFonts w:ascii="Times New Roman" w:eastAsia="Times New Roman" w:hAnsi="Times New Roman" w:cs="Times New Roman"/>
          <w:sz w:val="32"/>
          <w:szCs w:val="32"/>
        </w:rPr>
        <w:t>ri</w:t>
      </w:r>
      <w:r w:rsidRPr="000C3059">
        <w:rPr>
          <w:rFonts w:ascii="Times New Roman" w:eastAsia="Times New Roman" w:hAnsi="Times New Roman" w:cs="Times New Roman"/>
          <w:sz w:val="32"/>
          <w:szCs w:val="32"/>
        </w:rPr>
        <w:t>ng and loving parents who enlighten my life.</w:t>
      </w:r>
      <w:r>
        <w:rPr>
          <w:rFonts w:ascii="Times New Roman" w:eastAsia="Times New Roman" w:hAnsi="Times New Roman" w:cs="Times New Roman"/>
          <w:sz w:val="32"/>
          <w:szCs w:val="32"/>
        </w:rPr>
        <w:t xml:space="preserve"> </w:t>
      </w:r>
    </w:p>
    <w:p w:rsidR="0092311A" w:rsidRPr="000C3059" w:rsidRDefault="0092311A" w:rsidP="0092311A">
      <w:pPr>
        <w:widowControl w:val="0"/>
        <w:autoSpaceDE w:val="0"/>
        <w:autoSpaceDN w:val="0"/>
        <w:bidi w:val="0"/>
        <w:spacing w:after="0" w:line="240" w:lineRule="auto"/>
        <w:ind w:firstLine="540"/>
        <w:jc w:val="both"/>
        <w:rPr>
          <w:rFonts w:ascii="Times New Roman" w:eastAsia="Times New Roman" w:hAnsi="Times New Roman" w:cs="Times New Roman"/>
          <w:sz w:val="32"/>
          <w:szCs w:val="32"/>
        </w:rPr>
      </w:pPr>
    </w:p>
    <w:p w:rsidR="0092311A" w:rsidRDefault="0092311A" w:rsidP="0092311A">
      <w:pPr>
        <w:pBdr>
          <w:top w:val="nil"/>
          <w:left w:val="nil"/>
          <w:bottom w:val="nil"/>
          <w:right w:val="nil"/>
          <w:between w:val="nil"/>
          <w:bar w:val="nil"/>
        </w:pBdr>
        <w:bidi w:val="0"/>
        <w:spacing w:before="120" w:after="0" w:line="240" w:lineRule="auto"/>
        <w:ind w:firstLine="720"/>
        <w:jc w:val="right"/>
        <w:rPr>
          <w:rFonts w:ascii="Times New Roman" w:eastAsia="Helvetica" w:hAnsi="Times New Roman" w:cs="Times New Roman"/>
          <w:sz w:val="42"/>
          <w:szCs w:val="42"/>
          <w:bdr w:val="nil"/>
        </w:rPr>
      </w:pPr>
    </w:p>
    <w:p w:rsidR="0092311A" w:rsidRDefault="0092311A" w:rsidP="0092311A">
      <w:pPr>
        <w:pBdr>
          <w:top w:val="nil"/>
          <w:left w:val="nil"/>
          <w:bottom w:val="nil"/>
          <w:right w:val="nil"/>
          <w:between w:val="nil"/>
          <w:bar w:val="nil"/>
        </w:pBdr>
        <w:bidi w:val="0"/>
        <w:spacing w:before="120" w:after="0" w:line="240" w:lineRule="auto"/>
        <w:ind w:firstLine="720"/>
        <w:jc w:val="right"/>
        <w:rPr>
          <w:rFonts w:ascii="Times New Roman" w:eastAsia="Helvetica" w:hAnsi="Times New Roman" w:cs="Times New Roman"/>
          <w:sz w:val="42"/>
          <w:szCs w:val="42"/>
          <w:bdr w:val="nil"/>
        </w:rPr>
      </w:pPr>
    </w:p>
    <w:p w:rsidR="0092311A" w:rsidRPr="00377937" w:rsidRDefault="0092311A" w:rsidP="0092311A">
      <w:pPr>
        <w:spacing w:before="41" w:line="504" w:lineRule="exact"/>
        <w:ind w:left="45" w:right="1844"/>
        <w:rPr>
          <w:rFonts w:asciiTheme="majorBidi" w:hAnsiTheme="majorBidi" w:cstheme="majorBidi"/>
          <w:b/>
          <w:i/>
          <w:color w:val="C00000"/>
          <w:rtl/>
        </w:rPr>
      </w:pPr>
      <w:r w:rsidRPr="00377937">
        <w:rPr>
          <w:rFonts w:asciiTheme="majorBidi" w:eastAsia="Helvetica" w:hAnsiTheme="majorBidi" w:cstheme="majorBidi"/>
          <w:color w:val="C00000"/>
          <w:bdr w:val="nil"/>
        </w:rPr>
        <w:sym w:font="Wingdings" w:char="F040"/>
      </w:r>
      <w:r w:rsidRPr="00377937">
        <w:rPr>
          <w:rFonts w:asciiTheme="majorBidi" w:eastAsia="Helvetica" w:hAnsiTheme="majorBidi" w:cstheme="majorBidi"/>
          <w:color w:val="C00000"/>
          <w:bdr w:val="nil"/>
        </w:rPr>
        <w:t xml:space="preserve"> </w:t>
      </w:r>
      <w:proofErr w:type="spellStart"/>
      <w:r w:rsidR="00714709" w:rsidRPr="00714709">
        <w:rPr>
          <w:rFonts w:asciiTheme="majorBidi" w:eastAsia="Arial" w:hAnsiTheme="majorBidi" w:cstheme="majorBidi"/>
          <w:b/>
          <w:bCs/>
          <w:i/>
          <w:iCs/>
          <w:color w:val="C00000"/>
          <w:lang w:bidi="en-US"/>
        </w:rPr>
        <w:t>Rana</w:t>
      </w:r>
      <w:proofErr w:type="spellEnd"/>
      <w:r w:rsidR="00714709" w:rsidRPr="00714709">
        <w:rPr>
          <w:rFonts w:asciiTheme="majorBidi" w:eastAsia="Arial" w:hAnsiTheme="majorBidi" w:cstheme="majorBidi"/>
          <w:b/>
          <w:bCs/>
          <w:i/>
          <w:iCs/>
          <w:color w:val="C00000"/>
          <w:lang w:bidi="en-US"/>
        </w:rPr>
        <w:t xml:space="preserve"> Ali </w:t>
      </w:r>
      <w:proofErr w:type="spellStart"/>
      <w:r w:rsidR="00714709" w:rsidRPr="00714709">
        <w:rPr>
          <w:rFonts w:asciiTheme="majorBidi" w:eastAsia="Arial" w:hAnsiTheme="majorBidi" w:cstheme="majorBidi"/>
          <w:b/>
          <w:bCs/>
          <w:i/>
          <w:iCs/>
          <w:color w:val="C00000"/>
          <w:lang w:bidi="en-US"/>
        </w:rPr>
        <w:t>Sleem</w:t>
      </w:r>
      <w:proofErr w:type="spellEnd"/>
    </w:p>
    <w:bookmarkEnd w:id="2"/>
    <w:p w:rsidR="0092311A" w:rsidRPr="005814DC" w:rsidRDefault="0092311A" w:rsidP="0092311A">
      <w:pPr>
        <w:bidi w:val="0"/>
        <w:rPr>
          <w:rFonts w:ascii="Times New Roman" w:eastAsia="Helvetica" w:hAnsi="Times New Roman" w:cs="Times New Roman"/>
          <w:sz w:val="26"/>
          <w:szCs w:val="26"/>
          <w:rtl/>
          <w:lang w:bidi="ar-EG"/>
        </w:rPr>
        <w:sectPr w:rsidR="0092311A" w:rsidRPr="005814DC" w:rsidSect="004371C0">
          <w:pgSz w:w="11907" w:h="16839" w:code="9"/>
          <w:pgMar w:top="1701" w:right="1701" w:bottom="1701" w:left="1701" w:header="1134" w:footer="1134" w:gutter="0"/>
          <w:cols w:space="720"/>
          <w:bidi/>
          <w:rtlGutter/>
          <w:docGrid w:linePitch="360"/>
        </w:sectPr>
      </w:pPr>
    </w:p>
    <w:p w:rsidR="0092311A" w:rsidRPr="00F61D74" w:rsidRDefault="0092311A" w:rsidP="0092311A">
      <w:pPr>
        <w:bidi w:val="0"/>
        <w:spacing w:before="200" w:line="240" w:lineRule="auto"/>
        <w:jc w:val="center"/>
        <w:rPr>
          <w:rFonts w:ascii="Times New Roman" w:eastAsia="Times New Roman" w:hAnsi="Times New Roman" w:cs="Times New Roman"/>
          <w:b/>
          <w:bCs/>
          <w:smallCaps/>
          <w:sz w:val="28"/>
          <w:szCs w:val="28"/>
        </w:rPr>
      </w:pPr>
      <w:r w:rsidRPr="00F61D74">
        <w:rPr>
          <w:rFonts w:ascii="Times New Roman" w:eastAsia="Times New Roman" w:hAnsi="Times New Roman" w:cs="Times New Roman"/>
          <w:b/>
          <w:bCs/>
          <w:smallCaps/>
          <w:sz w:val="28"/>
          <w:szCs w:val="28"/>
        </w:rPr>
        <w:lastRenderedPageBreak/>
        <w:t>LIST OF CONTENTS</w:t>
      </w:r>
    </w:p>
    <w:tbl>
      <w:tblPr>
        <w:tblStyle w:val="TableGrid4"/>
        <w:tblW w:w="9050"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8258"/>
        <w:gridCol w:w="792"/>
      </w:tblGrid>
      <w:tr w:rsidR="0092311A" w:rsidRPr="00F61D74" w:rsidTr="004371C0">
        <w:trPr>
          <w:trHeight w:val="521"/>
          <w:jc w:val="center"/>
        </w:trPr>
        <w:tc>
          <w:tcPr>
            <w:tcW w:w="8258" w:type="dxa"/>
          </w:tcPr>
          <w:p w:rsidR="0092311A" w:rsidRPr="00F61D74" w:rsidRDefault="0092311A" w:rsidP="00FE23E1">
            <w:pPr>
              <w:bidi w:val="0"/>
              <w:jc w:val="center"/>
              <w:rPr>
                <w:rFonts w:ascii="Times New Roman" w:hAnsi="Times New Roman" w:cs="Times New Roman"/>
                <w:b/>
                <w:bCs/>
                <w:sz w:val="28"/>
                <w:szCs w:val="28"/>
                <w:lang w:bidi="ar-EG"/>
              </w:rPr>
            </w:pPr>
            <w:r w:rsidRPr="00F61D74">
              <w:rPr>
                <w:rFonts w:ascii="Times New Roman" w:hAnsi="Times New Roman" w:cs="Times New Roman"/>
                <w:b/>
                <w:bCs/>
                <w:sz w:val="28"/>
                <w:szCs w:val="28"/>
                <w:lang w:bidi="ar-EG"/>
              </w:rPr>
              <w:t>Title</w:t>
            </w:r>
          </w:p>
        </w:tc>
        <w:tc>
          <w:tcPr>
            <w:tcW w:w="792" w:type="dxa"/>
          </w:tcPr>
          <w:p w:rsidR="0092311A" w:rsidRPr="00F61D74" w:rsidRDefault="0092311A" w:rsidP="00FE23E1">
            <w:pPr>
              <w:bidi w:val="0"/>
              <w:jc w:val="center"/>
              <w:rPr>
                <w:rFonts w:ascii="Times New Roman" w:hAnsi="Times New Roman" w:cs="Times New Roman"/>
                <w:b/>
                <w:bCs/>
                <w:sz w:val="28"/>
                <w:szCs w:val="28"/>
                <w:lang w:bidi="ar-EG"/>
              </w:rPr>
            </w:pPr>
            <w:r w:rsidRPr="00F61D74">
              <w:rPr>
                <w:rFonts w:ascii="Times New Roman" w:hAnsi="Times New Roman" w:cs="Times New Roman"/>
                <w:b/>
                <w:bCs/>
                <w:sz w:val="28"/>
                <w:szCs w:val="28"/>
                <w:lang w:bidi="ar-EG"/>
              </w:rPr>
              <w:t>Page</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28"/>
                <w:szCs w:val="28"/>
                <w:lang w:bidi="ar-EG"/>
              </w:rPr>
            </w:pPr>
            <w:r w:rsidRPr="00F61D74">
              <w:rPr>
                <w:rFonts w:ascii="Times New Roman" w:hAnsi="Times New Roman" w:cs="Times New Roman"/>
                <w:b/>
                <w:bCs/>
                <w:sz w:val="28"/>
                <w:szCs w:val="28"/>
                <w:lang w:bidi="ar-EG"/>
              </w:rPr>
              <w:t xml:space="preserve">List of Abbreviations </w:t>
            </w:r>
          </w:p>
        </w:tc>
        <w:tc>
          <w:tcPr>
            <w:tcW w:w="792" w:type="dxa"/>
            <w:vAlign w:val="center"/>
          </w:tcPr>
          <w:p w:rsidR="0092311A" w:rsidRPr="00F61D74" w:rsidRDefault="0092311A" w:rsidP="00FE23E1">
            <w:pPr>
              <w:tabs>
                <w:tab w:val="center" w:pos="4153"/>
                <w:tab w:val="right" w:pos="8306"/>
              </w:tabs>
              <w:bidi w:val="0"/>
              <w:jc w:val="center"/>
              <w:rPr>
                <w:rFonts w:ascii="Times New Roman" w:hAnsi="Times New Roman" w:cs="Times New Roman"/>
                <w:sz w:val="28"/>
                <w:szCs w:val="28"/>
                <w:lang w:bidi="ar-EG"/>
              </w:rPr>
            </w:pPr>
            <w:r w:rsidRPr="00F61D74">
              <w:rPr>
                <w:rFonts w:ascii="Times New Roman" w:hAnsi="Times New Roman" w:cs="Times New Roman"/>
                <w:sz w:val="28"/>
                <w:szCs w:val="28"/>
                <w:lang w:bidi="ar-EG"/>
              </w:rPr>
              <w:t>I</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28"/>
                <w:szCs w:val="28"/>
                <w:lang w:bidi="ar-EG"/>
              </w:rPr>
            </w:pPr>
            <w:r w:rsidRPr="00F61D74">
              <w:rPr>
                <w:rFonts w:ascii="Times New Roman" w:hAnsi="Times New Roman" w:cs="Times New Roman"/>
                <w:b/>
                <w:bCs/>
                <w:sz w:val="28"/>
                <w:szCs w:val="28"/>
                <w:lang w:bidi="ar-EG"/>
              </w:rPr>
              <w:t xml:space="preserve">List of Tables </w:t>
            </w:r>
          </w:p>
        </w:tc>
        <w:tc>
          <w:tcPr>
            <w:tcW w:w="792" w:type="dxa"/>
            <w:vAlign w:val="center"/>
          </w:tcPr>
          <w:p w:rsidR="0092311A" w:rsidRPr="00F61D74" w:rsidRDefault="0092311A" w:rsidP="00FE23E1">
            <w:pPr>
              <w:tabs>
                <w:tab w:val="center" w:pos="4153"/>
                <w:tab w:val="right" w:pos="8306"/>
              </w:tabs>
              <w:bidi w:val="0"/>
              <w:jc w:val="center"/>
              <w:rPr>
                <w:rFonts w:ascii="Times New Roman" w:hAnsi="Times New Roman" w:cs="Times New Roman"/>
                <w:sz w:val="28"/>
                <w:szCs w:val="28"/>
              </w:rPr>
            </w:pPr>
            <w:r w:rsidRPr="00F61D74">
              <w:rPr>
                <w:rFonts w:ascii="Times New Roman" w:hAnsi="Times New Roman" w:cs="Times New Roman"/>
                <w:sz w:val="28"/>
                <w:szCs w:val="28"/>
              </w:rPr>
              <w:t>II</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40"/>
                <w:szCs w:val="40"/>
                <w:lang w:bidi="ar-EG"/>
              </w:rPr>
            </w:pPr>
            <w:r w:rsidRPr="00F61D74">
              <w:rPr>
                <w:rFonts w:ascii="Times New Roman" w:hAnsi="Times New Roman" w:cs="Times New Roman"/>
                <w:b/>
                <w:iCs/>
                <w:sz w:val="28"/>
                <w:szCs w:val="28"/>
              </w:rPr>
              <w:t xml:space="preserve">List of Figures </w:t>
            </w:r>
          </w:p>
        </w:tc>
        <w:tc>
          <w:tcPr>
            <w:tcW w:w="792" w:type="dxa"/>
            <w:vAlign w:val="center"/>
          </w:tcPr>
          <w:p w:rsidR="0092311A" w:rsidRPr="00F61D74" w:rsidRDefault="00BC2B68" w:rsidP="00FE23E1">
            <w:pPr>
              <w:tabs>
                <w:tab w:val="center" w:pos="4153"/>
                <w:tab w:val="right" w:pos="8306"/>
              </w:tabs>
              <w:bidi w:val="0"/>
              <w:jc w:val="center"/>
              <w:rPr>
                <w:rFonts w:ascii="Times New Roman" w:hAnsi="Times New Roman" w:cs="Times New Roman"/>
                <w:sz w:val="28"/>
                <w:szCs w:val="28"/>
              </w:rPr>
            </w:pPr>
            <w:r>
              <w:rPr>
                <w:rFonts w:ascii="Times New Roman" w:hAnsi="Times New Roman" w:cs="Times New Roman"/>
                <w:sz w:val="28"/>
                <w:szCs w:val="28"/>
              </w:rPr>
              <w:t>IV</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40"/>
                <w:szCs w:val="40"/>
                <w:lang w:bidi="ar-EG"/>
              </w:rPr>
            </w:pPr>
            <w:r w:rsidRPr="00F61D74">
              <w:rPr>
                <w:rFonts w:ascii="Times New Roman" w:hAnsi="Times New Roman" w:cs="Times New Roman"/>
                <w:b/>
                <w:iCs/>
                <w:sz w:val="28"/>
                <w:szCs w:val="28"/>
              </w:rPr>
              <w:t>Introduction</w:t>
            </w:r>
          </w:p>
        </w:tc>
        <w:tc>
          <w:tcPr>
            <w:tcW w:w="792" w:type="dxa"/>
            <w:vAlign w:val="center"/>
          </w:tcPr>
          <w:p w:rsidR="0092311A" w:rsidRPr="00F61D74" w:rsidRDefault="0092311A" w:rsidP="00FE23E1">
            <w:pPr>
              <w:bidi w:val="0"/>
              <w:jc w:val="center"/>
              <w:rPr>
                <w:rFonts w:ascii="Times New Roman" w:hAnsi="Times New Roman" w:cs="Times New Roman"/>
                <w:sz w:val="28"/>
                <w:szCs w:val="28"/>
                <w:lang w:bidi="ar-EG"/>
              </w:rPr>
            </w:pPr>
            <w:r w:rsidRPr="00F61D74">
              <w:rPr>
                <w:rFonts w:ascii="Times New Roman" w:hAnsi="Times New Roman" w:cs="Times New Roman"/>
                <w:sz w:val="28"/>
                <w:szCs w:val="28"/>
                <w:lang w:bidi="ar-EG"/>
              </w:rPr>
              <w:t>1</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28"/>
                <w:szCs w:val="28"/>
                <w:lang w:bidi="ar-EG"/>
              </w:rPr>
            </w:pPr>
            <w:r w:rsidRPr="00F61D74">
              <w:rPr>
                <w:rFonts w:ascii="Times New Roman" w:hAnsi="Times New Roman" w:cs="Times New Roman"/>
                <w:b/>
                <w:bCs/>
                <w:sz w:val="28"/>
                <w:szCs w:val="28"/>
                <w:lang w:bidi="ar-EG"/>
              </w:rPr>
              <w:t xml:space="preserve">Aim of the </w:t>
            </w:r>
            <w:r>
              <w:rPr>
                <w:rFonts w:ascii="Times New Roman" w:hAnsi="Times New Roman" w:cs="Times New Roman"/>
                <w:b/>
                <w:bCs/>
                <w:sz w:val="28"/>
                <w:szCs w:val="28"/>
                <w:lang w:bidi="ar-EG"/>
              </w:rPr>
              <w:t>Study</w:t>
            </w:r>
          </w:p>
        </w:tc>
        <w:tc>
          <w:tcPr>
            <w:tcW w:w="792" w:type="dxa"/>
            <w:vAlign w:val="center"/>
          </w:tcPr>
          <w:p w:rsidR="0092311A" w:rsidRPr="00F61D74" w:rsidRDefault="00BC2B68"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3</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28"/>
                <w:szCs w:val="28"/>
                <w:lang w:bidi="ar-EG"/>
              </w:rPr>
            </w:pPr>
            <w:r w:rsidRPr="00F61D74">
              <w:rPr>
                <w:rFonts w:ascii="Times New Roman" w:hAnsi="Times New Roman" w:cs="Times New Roman"/>
                <w:b/>
                <w:bCs/>
                <w:sz w:val="28"/>
                <w:szCs w:val="28"/>
                <w:lang w:bidi="ar-EG"/>
              </w:rPr>
              <w:t>Review of Literature</w:t>
            </w:r>
          </w:p>
        </w:tc>
        <w:tc>
          <w:tcPr>
            <w:tcW w:w="792" w:type="dxa"/>
            <w:vAlign w:val="center"/>
          </w:tcPr>
          <w:p w:rsidR="0092311A" w:rsidRPr="00F61D74" w:rsidRDefault="0092311A" w:rsidP="00FE23E1">
            <w:pPr>
              <w:bidi w:val="0"/>
              <w:jc w:val="center"/>
              <w:rPr>
                <w:rFonts w:ascii="Times New Roman" w:hAnsi="Times New Roman" w:cs="Times New Roman"/>
                <w:sz w:val="28"/>
                <w:szCs w:val="28"/>
                <w:lang w:bidi="ar-EG"/>
              </w:rPr>
            </w:pPr>
            <w:r w:rsidRPr="00F61D74">
              <w:rPr>
                <w:rFonts w:ascii="Times New Roman" w:hAnsi="Times New Roman" w:cs="Times New Roman"/>
                <w:sz w:val="28"/>
                <w:szCs w:val="28"/>
                <w:lang w:bidi="ar-EG"/>
              </w:rPr>
              <w:t>4</w:t>
            </w:r>
          </w:p>
        </w:tc>
      </w:tr>
      <w:tr w:rsidR="0092311A" w:rsidRPr="00F61D74" w:rsidTr="004371C0">
        <w:trPr>
          <w:trHeight w:val="483"/>
          <w:jc w:val="center"/>
        </w:trPr>
        <w:tc>
          <w:tcPr>
            <w:tcW w:w="8258" w:type="dxa"/>
            <w:vAlign w:val="center"/>
          </w:tcPr>
          <w:p w:rsidR="0092311A" w:rsidRPr="007C3732" w:rsidRDefault="0092311A" w:rsidP="00FE23E1">
            <w:pPr>
              <w:pStyle w:val="ListParagraph"/>
              <w:numPr>
                <w:ilvl w:val="0"/>
                <w:numId w:val="12"/>
              </w:numPr>
              <w:rPr>
                <w:rFonts w:ascii="Times New Roman" w:hAnsi="Times New Roman" w:cs="Times New Roman"/>
                <w:b/>
                <w:bCs/>
                <w:i/>
                <w:iCs/>
                <w:sz w:val="28"/>
                <w:szCs w:val="28"/>
                <w:lang w:bidi="ar-EG"/>
              </w:rPr>
            </w:pPr>
            <w:r w:rsidRPr="007C3732">
              <w:rPr>
                <w:rFonts w:ascii="Times New Roman" w:hAnsi="Times New Roman" w:cs="Times New Roman"/>
                <w:b/>
                <w:bCs/>
                <w:i/>
                <w:iCs/>
                <w:sz w:val="28"/>
                <w:szCs w:val="28"/>
                <w:lang w:bidi="ar-EG"/>
              </w:rPr>
              <w:t xml:space="preserve">Chapter (1): </w:t>
            </w:r>
            <w:r w:rsidR="00BC2B68" w:rsidRPr="00BC2B68">
              <w:rPr>
                <w:rFonts w:ascii="Times New Roman" w:hAnsi="Times New Roman" w:cs="Times New Roman"/>
                <w:b/>
                <w:bCs/>
                <w:i/>
                <w:iCs/>
                <w:sz w:val="28"/>
                <w:szCs w:val="28"/>
                <w:lang w:bidi="ar-EG"/>
              </w:rPr>
              <w:t>Childhood Poisoning</w:t>
            </w:r>
          </w:p>
        </w:tc>
        <w:tc>
          <w:tcPr>
            <w:tcW w:w="792" w:type="dxa"/>
            <w:vAlign w:val="center"/>
          </w:tcPr>
          <w:p w:rsidR="0092311A" w:rsidRPr="00F61D74"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4</w:t>
            </w:r>
          </w:p>
        </w:tc>
      </w:tr>
      <w:tr w:rsidR="0092311A" w:rsidRPr="00F61D74" w:rsidTr="004371C0">
        <w:trPr>
          <w:trHeight w:val="483"/>
          <w:jc w:val="center"/>
        </w:trPr>
        <w:tc>
          <w:tcPr>
            <w:tcW w:w="8258" w:type="dxa"/>
            <w:vAlign w:val="center"/>
          </w:tcPr>
          <w:p w:rsidR="0092311A" w:rsidRPr="007C3732" w:rsidRDefault="0092311A" w:rsidP="00FE23E1">
            <w:pPr>
              <w:pStyle w:val="ListParagraph"/>
              <w:numPr>
                <w:ilvl w:val="0"/>
                <w:numId w:val="12"/>
              </w:numPr>
              <w:rPr>
                <w:rFonts w:ascii="Times New Roman" w:hAnsi="Times New Roman" w:cs="Times New Roman"/>
                <w:b/>
                <w:bCs/>
                <w:i/>
                <w:iCs/>
                <w:sz w:val="28"/>
                <w:szCs w:val="28"/>
                <w:lang w:bidi="ar-EG"/>
              </w:rPr>
            </w:pPr>
            <w:r w:rsidRPr="007C3732">
              <w:rPr>
                <w:rFonts w:ascii="Times New Roman" w:hAnsi="Times New Roman" w:cs="Times New Roman"/>
                <w:b/>
                <w:bCs/>
                <w:i/>
                <w:iCs/>
                <w:sz w:val="28"/>
                <w:szCs w:val="28"/>
                <w:lang w:bidi="ar-EG"/>
              </w:rPr>
              <w:t xml:space="preserve">Chapter (2): </w:t>
            </w:r>
            <w:r w:rsidR="00BC2B68" w:rsidRPr="00BC2B68">
              <w:rPr>
                <w:rFonts w:ascii="Times New Roman" w:hAnsi="Times New Roman" w:cs="Times New Roman"/>
                <w:b/>
                <w:bCs/>
                <w:i/>
                <w:iCs/>
                <w:sz w:val="28"/>
                <w:szCs w:val="28"/>
                <w:lang w:bidi="ar-EG"/>
              </w:rPr>
              <w:t>Pediatric Drug Poisoning</w:t>
            </w:r>
          </w:p>
        </w:tc>
        <w:tc>
          <w:tcPr>
            <w:tcW w:w="792" w:type="dxa"/>
            <w:vAlign w:val="center"/>
          </w:tcPr>
          <w:p w:rsidR="0092311A" w:rsidRPr="00F61D74"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8</w:t>
            </w:r>
          </w:p>
        </w:tc>
      </w:tr>
      <w:tr w:rsidR="007C3732" w:rsidRPr="00F61D74" w:rsidTr="004371C0">
        <w:trPr>
          <w:trHeight w:val="483"/>
          <w:jc w:val="center"/>
        </w:trPr>
        <w:tc>
          <w:tcPr>
            <w:tcW w:w="8258" w:type="dxa"/>
          </w:tcPr>
          <w:p w:rsidR="007C3732" w:rsidRPr="007C3732" w:rsidRDefault="007C3732" w:rsidP="00FE23E1">
            <w:pPr>
              <w:pStyle w:val="ListParagraph"/>
              <w:numPr>
                <w:ilvl w:val="0"/>
                <w:numId w:val="12"/>
              </w:numPr>
              <w:rPr>
                <w:rFonts w:ascii="Times New Roman" w:hAnsi="Times New Roman" w:cs="Times New Roman"/>
                <w:b/>
                <w:bCs/>
                <w:i/>
                <w:iCs/>
                <w:sz w:val="28"/>
                <w:szCs w:val="28"/>
                <w:lang w:bidi="ar-EG"/>
              </w:rPr>
            </w:pPr>
            <w:r w:rsidRPr="007C3732">
              <w:rPr>
                <w:rFonts w:ascii="Times New Roman" w:hAnsi="Times New Roman" w:cs="Times New Roman"/>
                <w:b/>
                <w:bCs/>
                <w:i/>
                <w:iCs/>
                <w:sz w:val="28"/>
                <w:szCs w:val="28"/>
                <w:lang w:bidi="ar-EG"/>
              </w:rPr>
              <w:t xml:space="preserve">Chapter (3): </w:t>
            </w:r>
            <w:r w:rsidR="00BC2B68" w:rsidRPr="00BC2B68">
              <w:rPr>
                <w:rFonts w:ascii="Times New Roman" w:hAnsi="Times New Roman" w:cs="Times New Roman"/>
                <w:b/>
                <w:bCs/>
                <w:i/>
                <w:iCs/>
                <w:sz w:val="28"/>
                <w:szCs w:val="28"/>
                <w:lang w:bidi="ar-EG"/>
              </w:rPr>
              <w:t>Pediatric Pharmacology</w:t>
            </w:r>
          </w:p>
        </w:tc>
        <w:tc>
          <w:tcPr>
            <w:tcW w:w="792" w:type="dxa"/>
            <w:vAlign w:val="center"/>
          </w:tcPr>
          <w:p w:rsidR="007C3732" w:rsidRDefault="00FE23E1" w:rsidP="00FE23E1">
            <w:pPr>
              <w:bidi w:val="0"/>
              <w:jc w:val="center"/>
              <w:rPr>
                <w:rFonts w:ascii="Times New Roman" w:hAnsi="Times New Roman" w:cs="Times New Roman"/>
                <w:sz w:val="28"/>
                <w:szCs w:val="28"/>
                <w:rtl/>
                <w:lang w:bidi="ar-EG"/>
              </w:rPr>
            </w:pPr>
            <w:r>
              <w:rPr>
                <w:rFonts w:ascii="Times New Roman" w:hAnsi="Times New Roman" w:cs="Times New Roman"/>
                <w:sz w:val="28"/>
                <w:szCs w:val="28"/>
                <w:lang w:bidi="ar-EG"/>
              </w:rPr>
              <w:t>12</w:t>
            </w:r>
          </w:p>
        </w:tc>
      </w:tr>
      <w:tr w:rsidR="007C3732" w:rsidRPr="00F61D74" w:rsidTr="004371C0">
        <w:trPr>
          <w:trHeight w:val="483"/>
          <w:jc w:val="center"/>
        </w:trPr>
        <w:tc>
          <w:tcPr>
            <w:tcW w:w="8258" w:type="dxa"/>
          </w:tcPr>
          <w:p w:rsidR="007C3732" w:rsidRPr="007C3732" w:rsidRDefault="007C3732" w:rsidP="00FE23E1">
            <w:pPr>
              <w:pStyle w:val="ListParagraph"/>
              <w:numPr>
                <w:ilvl w:val="0"/>
                <w:numId w:val="12"/>
              </w:numPr>
              <w:rPr>
                <w:rFonts w:ascii="Times New Roman" w:hAnsi="Times New Roman" w:cs="Times New Roman"/>
                <w:b/>
                <w:bCs/>
                <w:i/>
                <w:iCs/>
                <w:sz w:val="28"/>
                <w:szCs w:val="28"/>
                <w:lang w:bidi="ar-EG"/>
              </w:rPr>
            </w:pPr>
            <w:r w:rsidRPr="007C3732">
              <w:rPr>
                <w:rFonts w:ascii="Times New Roman" w:hAnsi="Times New Roman" w:cs="Times New Roman"/>
                <w:b/>
                <w:bCs/>
                <w:i/>
                <w:iCs/>
                <w:sz w:val="28"/>
                <w:szCs w:val="28"/>
                <w:lang w:bidi="ar-EG"/>
              </w:rPr>
              <w:t xml:space="preserve">Chapter (4): </w:t>
            </w:r>
            <w:r w:rsidR="00BC2B68" w:rsidRPr="00BC2B68">
              <w:rPr>
                <w:rFonts w:ascii="Times New Roman" w:hAnsi="Times New Roman" w:cs="Times New Roman"/>
                <w:b/>
                <w:bCs/>
                <w:i/>
                <w:iCs/>
                <w:sz w:val="28"/>
                <w:szCs w:val="28"/>
                <w:lang w:bidi="ar-EG"/>
              </w:rPr>
              <w:t>Risk Factors of Poisoning Among Children</w:t>
            </w:r>
          </w:p>
        </w:tc>
        <w:tc>
          <w:tcPr>
            <w:tcW w:w="792" w:type="dxa"/>
            <w:vAlign w:val="center"/>
          </w:tcPr>
          <w:p w:rsidR="007C3732" w:rsidRDefault="00FE23E1" w:rsidP="00FE23E1">
            <w:pPr>
              <w:bidi w:val="0"/>
              <w:jc w:val="center"/>
              <w:rPr>
                <w:rFonts w:ascii="Times New Roman" w:hAnsi="Times New Roman" w:cs="Times New Roman"/>
                <w:sz w:val="28"/>
                <w:szCs w:val="28"/>
                <w:rtl/>
                <w:lang w:bidi="ar-EG"/>
              </w:rPr>
            </w:pPr>
            <w:r>
              <w:rPr>
                <w:rFonts w:ascii="Times New Roman" w:hAnsi="Times New Roman" w:cs="Times New Roman"/>
                <w:sz w:val="28"/>
                <w:szCs w:val="28"/>
                <w:lang w:bidi="ar-EG"/>
              </w:rPr>
              <w:t>15</w:t>
            </w:r>
          </w:p>
        </w:tc>
      </w:tr>
      <w:tr w:rsidR="00BC2B68" w:rsidRPr="00F61D74" w:rsidTr="004371C0">
        <w:trPr>
          <w:trHeight w:val="483"/>
          <w:jc w:val="center"/>
        </w:trPr>
        <w:tc>
          <w:tcPr>
            <w:tcW w:w="8258" w:type="dxa"/>
          </w:tcPr>
          <w:p w:rsidR="00BC2B68" w:rsidRPr="007C3732" w:rsidRDefault="00BC2B68" w:rsidP="00FE23E1">
            <w:pPr>
              <w:pStyle w:val="ListParagraph"/>
              <w:numPr>
                <w:ilvl w:val="0"/>
                <w:numId w:val="12"/>
              </w:numPr>
              <w:rPr>
                <w:rFonts w:ascii="Times New Roman" w:hAnsi="Times New Roman" w:cs="Times New Roman"/>
                <w:b/>
                <w:bCs/>
                <w:i/>
                <w:iCs/>
                <w:sz w:val="28"/>
                <w:szCs w:val="28"/>
                <w:lang w:bidi="ar-EG"/>
              </w:rPr>
            </w:pPr>
            <w:r w:rsidRPr="00BA197B">
              <w:rPr>
                <w:rFonts w:ascii="Times New Roman" w:hAnsi="Times New Roman" w:cs="Times New Roman"/>
                <w:b/>
                <w:bCs/>
                <w:i/>
                <w:iCs/>
                <w:sz w:val="28"/>
                <w:szCs w:val="28"/>
                <w:lang w:bidi="ar-EG"/>
              </w:rPr>
              <w:t>Chapter (</w:t>
            </w:r>
            <w:r>
              <w:rPr>
                <w:rFonts w:ascii="Times New Roman" w:hAnsi="Times New Roman" w:cs="Times New Roman"/>
                <w:b/>
                <w:bCs/>
                <w:i/>
                <w:iCs/>
                <w:sz w:val="28"/>
                <w:szCs w:val="28"/>
                <w:lang w:bidi="ar-EG"/>
              </w:rPr>
              <w:t>5</w:t>
            </w:r>
            <w:r w:rsidRPr="00BA197B">
              <w:rPr>
                <w:rFonts w:ascii="Times New Roman" w:hAnsi="Times New Roman" w:cs="Times New Roman"/>
                <w:b/>
                <w:bCs/>
                <w:i/>
                <w:iCs/>
                <w:sz w:val="28"/>
                <w:szCs w:val="28"/>
                <w:lang w:bidi="ar-EG"/>
              </w:rPr>
              <w:t xml:space="preserve">): </w:t>
            </w:r>
            <w:r w:rsidRPr="00BC2B68">
              <w:rPr>
                <w:rFonts w:ascii="Times New Roman" w:hAnsi="Times New Roman" w:cs="Times New Roman"/>
                <w:b/>
                <w:bCs/>
                <w:i/>
                <w:iCs/>
                <w:sz w:val="28"/>
                <w:szCs w:val="28"/>
                <w:lang w:bidi="ar-EG"/>
              </w:rPr>
              <w:t>Prevention of Pediatric Poisoning</w:t>
            </w:r>
          </w:p>
        </w:tc>
        <w:tc>
          <w:tcPr>
            <w:tcW w:w="792" w:type="dxa"/>
            <w:vAlign w:val="center"/>
          </w:tcPr>
          <w:p w:rsidR="00BC2B68"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17</w:t>
            </w:r>
          </w:p>
        </w:tc>
      </w:tr>
      <w:tr w:rsidR="00BC2B68" w:rsidRPr="00F61D74" w:rsidTr="004371C0">
        <w:trPr>
          <w:trHeight w:val="483"/>
          <w:jc w:val="center"/>
        </w:trPr>
        <w:tc>
          <w:tcPr>
            <w:tcW w:w="8258" w:type="dxa"/>
          </w:tcPr>
          <w:p w:rsidR="00BC2B68" w:rsidRPr="007C3732" w:rsidRDefault="00BC2B68" w:rsidP="00FE23E1">
            <w:pPr>
              <w:pStyle w:val="ListParagraph"/>
              <w:numPr>
                <w:ilvl w:val="0"/>
                <w:numId w:val="12"/>
              </w:numPr>
              <w:rPr>
                <w:rFonts w:ascii="Times New Roman" w:hAnsi="Times New Roman" w:cs="Times New Roman"/>
                <w:b/>
                <w:bCs/>
                <w:i/>
                <w:iCs/>
                <w:sz w:val="28"/>
                <w:szCs w:val="28"/>
                <w:lang w:bidi="ar-EG"/>
              </w:rPr>
            </w:pPr>
            <w:r w:rsidRPr="00BA197B">
              <w:rPr>
                <w:rFonts w:ascii="Times New Roman" w:hAnsi="Times New Roman" w:cs="Times New Roman"/>
                <w:b/>
                <w:bCs/>
                <w:i/>
                <w:iCs/>
                <w:sz w:val="28"/>
                <w:szCs w:val="28"/>
                <w:lang w:bidi="ar-EG"/>
              </w:rPr>
              <w:t>Chapter (</w:t>
            </w:r>
            <w:r>
              <w:rPr>
                <w:rFonts w:ascii="Times New Roman" w:hAnsi="Times New Roman" w:cs="Times New Roman"/>
                <w:b/>
                <w:bCs/>
                <w:i/>
                <w:iCs/>
                <w:sz w:val="28"/>
                <w:szCs w:val="28"/>
                <w:lang w:bidi="ar-EG"/>
              </w:rPr>
              <w:t>6</w:t>
            </w:r>
            <w:r w:rsidRPr="00BA197B">
              <w:rPr>
                <w:rFonts w:ascii="Times New Roman" w:hAnsi="Times New Roman" w:cs="Times New Roman"/>
                <w:b/>
                <w:bCs/>
                <w:i/>
                <w:iCs/>
                <w:sz w:val="28"/>
                <w:szCs w:val="28"/>
                <w:lang w:bidi="ar-EG"/>
              </w:rPr>
              <w:t xml:space="preserve">): </w:t>
            </w:r>
            <w:r w:rsidRPr="00BC2B68">
              <w:rPr>
                <w:rFonts w:ascii="Times New Roman" w:hAnsi="Times New Roman" w:cs="Times New Roman"/>
                <w:b/>
                <w:bCs/>
                <w:i/>
                <w:iCs/>
                <w:sz w:val="28"/>
                <w:szCs w:val="28"/>
                <w:lang w:bidi="ar-EG"/>
              </w:rPr>
              <w:t>Management of Pediatric Poisoning</w:t>
            </w:r>
          </w:p>
        </w:tc>
        <w:tc>
          <w:tcPr>
            <w:tcW w:w="792" w:type="dxa"/>
            <w:vAlign w:val="center"/>
          </w:tcPr>
          <w:p w:rsidR="00BC2B68"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22</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40"/>
                <w:szCs w:val="40"/>
                <w:lang w:bidi="ar-EG"/>
              </w:rPr>
            </w:pPr>
            <w:r w:rsidRPr="00F61D74">
              <w:rPr>
                <w:rFonts w:ascii="Times New Roman" w:hAnsi="Times New Roman" w:cs="Times New Roman"/>
                <w:b/>
                <w:bCs/>
                <w:sz w:val="28"/>
                <w:szCs w:val="28"/>
                <w:lang w:bidi="ar-EG"/>
              </w:rPr>
              <w:t>Patients and Methods</w:t>
            </w:r>
          </w:p>
        </w:tc>
        <w:tc>
          <w:tcPr>
            <w:tcW w:w="792" w:type="dxa"/>
            <w:vAlign w:val="center"/>
          </w:tcPr>
          <w:p w:rsidR="0092311A" w:rsidRPr="00F61D74"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27</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40"/>
                <w:szCs w:val="40"/>
                <w:lang w:bidi="ar-EG"/>
              </w:rPr>
            </w:pPr>
            <w:r w:rsidRPr="00F61D74">
              <w:rPr>
                <w:rFonts w:ascii="Times New Roman" w:hAnsi="Times New Roman" w:cs="Times New Roman"/>
                <w:b/>
                <w:bCs/>
                <w:sz w:val="28"/>
                <w:szCs w:val="28"/>
                <w:lang w:bidi="ar-EG"/>
              </w:rPr>
              <w:t>Results</w:t>
            </w:r>
          </w:p>
        </w:tc>
        <w:tc>
          <w:tcPr>
            <w:tcW w:w="792" w:type="dxa"/>
            <w:vAlign w:val="center"/>
          </w:tcPr>
          <w:p w:rsidR="0092311A" w:rsidRPr="00F61D74"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37</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40"/>
                <w:szCs w:val="40"/>
                <w:lang w:bidi="ar-EG"/>
              </w:rPr>
            </w:pPr>
            <w:r w:rsidRPr="00F61D74">
              <w:rPr>
                <w:rFonts w:ascii="Times New Roman" w:hAnsi="Times New Roman" w:cs="Times New Roman"/>
                <w:b/>
                <w:bCs/>
                <w:sz w:val="28"/>
                <w:szCs w:val="28"/>
                <w:lang w:bidi="ar-EG"/>
              </w:rPr>
              <w:t>Discussion</w:t>
            </w:r>
          </w:p>
        </w:tc>
        <w:tc>
          <w:tcPr>
            <w:tcW w:w="792" w:type="dxa"/>
            <w:vAlign w:val="center"/>
          </w:tcPr>
          <w:p w:rsidR="0092311A" w:rsidRPr="00F61D74"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58</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40"/>
                <w:szCs w:val="40"/>
                <w:lang w:bidi="ar-EG"/>
              </w:rPr>
            </w:pPr>
            <w:r w:rsidRPr="00F61D74">
              <w:rPr>
                <w:rFonts w:ascii="Times New Roman" w:hAnsi="Times New Roman" w:cs="Times New Roman"/>
                <w:b/>
                <w:bCs/>
                <w:sz w:val="28"/>
                <w:szCs w:val="28"/>
                <w:lang w:bidi="ar-EG"/>
              </w:rPr>
              <w:t>Summary</w:t>
            </w:r>
          </w:p>
        </w:tc>
        <w:tc>
          <w:tcPr>
            <w:tcW w:w="792" w:type="dxa"/>
            <w:vAlign w:val="center"/>
          </w:tcPr>
          <w:p w:rsidR="0092311A" w:rsidRPr="00F61D74"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70</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28"/>
                <w:szCs w:val="28"/>
                <w:lang w:bidi="ar-EG"/>
              </w:rPr>
            </w:pPr>
            <w:r>
              <w:rPr>
                <w:rFonts w:ascii="Times New Roman" w:hAnsi="Times New Roman" w:cs="Times New Roman"/>
                <w:b/>
                <w:bCs/>
                <w:sz w:val="28"/>
                <w:szCs w:val="28"/>
                <w:lang w:bidi="ar-EG"/>
              </w:rPr>
              <w:t>Conclusion</w:t>
            </w:r>
          </w:p>
        </w:tc>
        <w:tc>
          <w:tcPr>
            <w:tcW w:w="792" w:type="dxa"/>
            <w:vAlign w:val="center"/>
          </w:tcPr>
          <w:p w:rsidR="0092311A" w:rsidRPr="00F61D74"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73</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28"/>
                <w:szCs w:val="28"/>
                <w:lang w:bidi="ar-EG"/>
              </w:rPr>
            </w:pPr>
            <w:r w:rsidRPr="00F61D74">
              <w:rPr>
                <w:rFonts w:ascii="Times New Roman" w:hAnsi="Times New Roman" w:cs="Times New Roman"/>
                <w:b/>
                <w:bCs/>
                <w:sz w:val="28"/>
                <w:szCs w:val="28"/>
                <w:lang w:bidi="ar-EG"/>
              </w:rPr>
              <w:t>Recommendations</w:t>
            </w:r>
          </w:p>
        </w:tc>
        <w:tc>
          <w:tcPr>
            <w:tcW w:w="792" w:type="dxa"/>
            <w:vAlign w:val="center"/>
          </w:tcPr>
          <w:p w:rsidR="0092311A" w:rsidRPr="00F61D74"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74</w:t>
            </w:r>
          </w:p>
        </w:tc>
      </w:tr>
      <w:tr w:rsidR="00AC2EAE" w:rsidRPr="00F61D74" w:rsidTr="004371C0">
        <w:trPr>
          <w:trHeight w:val="483"/>
          <w:jc w:val="center"/>
        </w:trPr>
        <w:tc>
          <w:tcPr>
            <w:tcW w:w="8258" w:type="dxa"/>
            <w:vAlign w:val="center"/>
          </w:tcPr>
          <w:p w:rsidR="00AC2EAE" w:rsidRPr="00F61D74" w:rsidRDefault="00AC2EAE" w:rsidP="00FE23E1">
            <w:pPr>
              <w:bidi w:val="0"/>
              <w:jc w:val="both"/>
              <w:rPr>
                <w:rFonts w:ascii="Times New Roman" w:hAnsi="Times New Roman" w:cs="Times New Roman"/>
                <w:b/>
                <w:bCs/>
                <w:sz w:val="28"/>
                <w:szCs w:val="28"/>
                <w:lang w:bidi="ar-EG"/>
              </w:rPr>
            </w:pPr>
            <w:r>
              <w:rPr>
                <w:rFonts w:ascii="Times New Roman" w:hAnsi="Times New Roman" w:cs="Times New Roman"/>
                <w:b/>
                <w:bCs/>
                <w:sz w:val="28"/>
                <w:szCs w:val="28"/>
                <w:lang w:bidi="ar-EG"/>
              </w:rPr>
              <w:t>Limitations</w:t>
            </w:r>
          </w:p>
        </w:tc>
        <w:tc>
          <w:tcPr>
            <w:tcW w:w="792" w:type="dxa"/>
            <w:vAlign w:val="center"/>
          </w:tcPr>
          <w:p w:rsidR="00AC2EAE"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76</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40"/>
                <w:szCs w:val="40"/>
                <w:lang w:bidi="ar-EG"/>
              </w:rPr>
            </w:pPr>
            <w:r w:rsidRPr="00F61D74">
              <w:rPr>
                <w:rFonts w:ascii="Times New Roman" w:hAnsi="Times New Roman" w:cs="Times New Roman"/>
                <w:b/>
                <w:bCs/>
                <w:sz w:val="28"/>
                <w:szCs w:val="28"/>
                <w:lang w:bidi="ar-EG"/>
              </w:rPr>
              <w:t>References</w:t>
            </w:r>
          </w:p>
        </w:tc>
        <w:tc>
          <w:tcPr>
            <w:tcW w:w="792" w:type="dxa"/>
            <w:vAlign w:val="center"/>
          </w:tcPr>
          <w:p w:rsidR="0092311A" w:rsidRPr="00F61D74" w:rsidRDefault="00FE23E1" w:rsidP="00FE23E1">
            <w:pPr>
              <w:bidi w:val="0"/>
              <w:jc w:val="center"/>
              <w:rPr>
                <w:rFonts w:ascii="Times New Roman" w:hAnsi="Times New Roman" w:cs="Times New Roman"/>
                <w:sz w:val="28"/>
                <w:szCs w:val="28"/>
                <w:lang w:bidi="ar-EG"/>
              </w:rPr>
            </w:pPr>
            <w:r>
              <w:rPr>
                <w:rFonts w:ascii="Times New Roman" w:hAnsi="Times New Roman" w:cs="Times New Roman"/>
                <w:sz w:val="28"/>
                <w:szCs w:val="28"/>
                <w:lang w:bidi="ar-EG"/>
              </w:rPr>
              <w:t>77</w:t>
            </w:r>
          </w:p>
        </w:tc>
      </w:tr>
      <w:tr w:rsidR="0092311A" w:rsidRPr="00F61D74" w:rsidTr="004371C0">
        <w:trPr>
          <w:trHeight w:val="483"/>
          <w:jc w:val="center"/>
        </w:trPr>
        <w:tc>
          <w:tcPr>
            <w:tcW w:w="8258" w:type="dxa"/>
            <w:vAlign w:val="center"/>
          </w:tcPr>
          <w:p w:rsidR="0092311A" w:rsidRPr="00F61D74" w:rsidRDefault="0092311A" w:rsidP="00FE23E1">
            <w:pPr>
              <w:bidi w:val="0"/>
              <w:jc w:val="both"/>
              <w:rPr>
                <w:rFonts w:ascii="Times New Roman" w:hAnsi="Times New Roman" w:cs="Times New Roman"/>
                <w:b/>
                <w:bCs/>
                <w:sz w:val="40"/>
                <w:szCs w:val="40"/>
                <w:rtl/>
                <w:lang w:bidi="ar-EG"/>
              </w:rPr>
            </w:pPr>
            <w:r w:rsidRPr="00F61D74">
              <w:rPr>
                <w:rFonts w:ascii="Times New Roman" w:hAnsi="Times New Roman" w:cs="Times New Roman"/>
                <w:b/>
                <w:bCs/>
                <w:sz w:val="28"/>
                <w:szCs w:val="28"/>
                <w:rtl/>
                <w:lang w:bidi="ar-EG"/>
              </w:rPr>
              <w:t>الملخص العربي</w:t>
            </w:r>
          </w:p>
        </w:tc>
        <w:tc>
          <w:tcPr>
            <w:tcW w:w="792" w:type="dxa"/>
            <w:vAlign w:val="center"/>
          </w:tcPr>
          <w:p w:rsidR="0092311A" w:rsidRPr="00F61D74" w:rsidRDefault="0092311A" w:rsidP="00FE23E1">
            <w:pPr>
              <w:bidi w:val="0"/>
              <w:jc w:val="center"/>
              <w:rPr>
                <w:rFonts w:ascii="Times New Roman" w:hAnsi="Times New Roman" w:cs="Times New Roman"/>
                <w:sz w:val="28"/>
                <w:szCs w:val="28"/>
                <w:lang w:bidi="ar-EG"/>
              </w:rPr>
            </w:pPr>
            <w:r w:rsidRPr="00F61D74">
              <w:rPr>
                <w:rFonts w:ascii="Times New Roman" w:hAnsi="Times New Roman" w:cs="Times New Roman"/>
                <w:sz w:val="28"/>
                <w:szCs w:val="28"/>
                <w:lang w:bidi="ar-EG"/>
              </w:rPr>
              <w:t>1</w:t>
            </w:r>
          </w:p>
        </w:tc>
      </w:tr>
    </w:tbl>
    <w:p w:rsidR="0092311A" w:rsidRPr="00B67F5F" w:rsidRDefault="0092311A" w:rsidP="0092311A">
      <w:pPr>
        <w:bidi w:val="0"/>
        <w:rPr>
          <w:rFonts w:ascii="Times New Roman" w:eastAsia="Times New Roman" w:hAnsi="Times New Roman" w:cs="Times New Roman"/>
          <w:sz w:val="24"/>
          <w:szCs w:val="24"/>
          <w:highlight w:val="yellow"/>
          <w:lang w:bidi="ar-EG"/>
        </w:rPr>
        <w:sectPr w:rsidR="0092311A" w:rsidRPr="00B67F5F" w:rsidSect="004371C0">
          <w:headerReference w:type="default" r:id="rId14"/>
          <w:footerReference w:type="default" r:id="rId15"/>
          <w:pgSz w:w="11906" w:h="16838" w:code="9"/>
          <w:pgMar w:top="1440" w:right="1800" w:bottom="1440" w:left="1800" w:header="851" w:footer="851" w:gutter="0"/>
          <w:pgNumType w:fmt="lowerRoman"/>
          <w:cols w:space="708"/>
          <w:bidi/>
          <w:rtlGutter/>
          <w:docGrid w:linePitch="360"/>
        </w:sectPr>
      </w:pPr>
    </w:p>
    <w:p w:rsidR="0092311A" w:rsidRPr="00F61D74" w:rsidRDefault="0092311A" w:rsidP="0092311A">
      <w:pPr>
        <w:bidi w:val="0"/>
        <w:jc w:val="center"/>
        <w:rPr>
          <w:rFonts w:ascii="Times New Roman" w:eastAsia="Times New Roman" w:hAnsi="Times New Roman" w:cs="Times New Roman"/>
          <w:sz w:val="24"/>
          <w:szCs w:val="24"/>
          <w:lang w:bidi="ar-EG"/>
        </w:rPr>
      </w:pPr>
      <w:r w:rsidRPr="00F61D74">
        <w:rPr>
          <w:rFonts w:ascii="Times New Roman" w:eastAsia="Times New Roman" w:hAnsi="Times New Roman" w:cs="Times New Roman"/>
          <w:b/>
          <w:bCs/>
          <w:caps/>
          <w:color w:val="000000"/>
          <w:sz w:val="28"/>
          <w:szCs w:val="28"/>
        </w:rPr>
        <w:lastRenderedPageBreak/>
        <w:t>List of ABBREVIATION</w:t>
      </w:r>
      <w:r w:rsidRPr="00F61D74">
        <w:rPr>
          <w:rFonts w:ascii="Times New Roman" w:eastAsia="Times New Roman" w:hAnsi="Times New Roman" w:cs="Times New Roman"/>
          <w:b/>
          <w:bCs/>
          <w:color w:val="000000"/>
          <w:sz w:val="28"/>
          <w:szCs w:val="28"/>
        </w:rPr>
        <w:t>S</w:t>
      </w:r>
    </w:p>
    <w:tbl>
      <w:tblPr>
        <w:tblW w:w="8174" w:type="dxa"/>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748"/>
        <w:gridCol w:w="6426"/>
      </w:tblGrid>
      <w:tr w:rsidR="00BC2B68" w:rsidRPr="00F61D74" w:rsidTr="004371C0">
        <w:trPr>
          <w:trHeight w:val="289"/>
          <w:jc w:val="center"/>
        </w:trPr>
        <w:tc>
          <w:tcPr>
            <w:tcW w:w="1748" w:type="dxa"/>
            <w:tcBorders>
              <w:top w:val="thickThinMediumGap" w:sz="12" w:space="0" w:color="000000"/>
              <w:left w:val="thickThinMediumGap" w:sz="12" w:space="0" w:color="000000"/>
              <w:bottom w:val="single" w:sz="4" w:space="0" w:color="000000"/>
              <w:right w:val="single" w:sz="4" w:space="0" w:color="000000"/>
            </w:tcBorders>
            <w:shd w:val="clear" w:color="auto" w:fill="F7CAAC" w:themeFill="accent2" w:themeFillTint="66"/>
          </w:tcPr>
          <w:p w:rsidR="00BC2B68" w:rsidRPr="007354D8" w:rsidRDefault="00BC2B68" w:rsidP="004371C0">
            <w:pPr>
              <w:widowControl w:val="0"/>
              <w:autoSpaceDE w:val="0"/>
              <w:autoSpaceDN w:val="0"/>
              <w:bidi w:val="0"/>
              <w:spacing w:before="1" w:after="0" w:line="268" w:lineRule="exact"/>
              <w:ind w:left="80"/>
              <w:jc w:val="center"/>
              <w:rPr>
                <w:rFonts w:ascii="Times New Roman" w:eastAsia="Times New Roman" w:hAnsi="Times New Roman" w:cs="Times New Roman"/>
                <w:b/>
                <w:w w:val="105"/>
                <w:sz w:val="24"/>
                <w:szCs w:val="20"/>
              </w:rPr>
            </w:pPr>
            <w:proofErr w:type="spellStart"/>
            <w:r w:rsidRPr="007354D8">
              <w:rPr>
                <w:rFonts w:ascii="Times New Roman" w:eastAsia="Times New Roman" w:hAnsi="Times New Roman" w:cs="Times New Roman"/>
                <w:b/>
                <w:w w:val="105"/>
                <w:sz w:val="24"/>
                <w:szCs w:val="20"/>
              </w:rPr>
              <w:t>Abb</w:t>
            </w:r>
            <w:proofErr w:type="spellEnd"/>
          </w:p>
        </w:tc>
        <w:tc>
          <w:tcPr>
            <w:tcW w:w="6426" w:type="dxa"/>
            <w:tcBorders>
              <w:top w:val="thickThinMediumGap" w:sz="12" w:space="0" w:color="000000"/>
              <w:left w:val="single" w:sz="4" w:space="0" w:color="000000"/>
              <w:bottom w:val="single" w:sz="4" w:space="0" w:color="000000"/>
              <w:right w:val="thickThinMediumGap" w:sz="12" w:space="0" w:color="000000"/>
            </w:tcBorders>
            <w:shd w:val="clear" w:color="auto" w:fill="FFFFFF" w:themeFill="background1"/>
          </w:tcPr>
          <w:p w:rsidR="00BC2B68" w:rsidRPr="007354D8" w:rsidRDefault="00BC2B68" w:rsidP="004371C0">
            <w:pPr>
              <w:widowControl w:val="0"/>
              <w:autoSpaceDE w:val="0"/>
              <w:autoSpaceDN w:val="0"/>
              <w:bidi w:val="0"/>
              <w:spacing w:after="0" w:line="269" w:lineRule="exact"/>
              <w:ind w:left="185"/>
              <w:jc w:val="center"/>
              <w:rPr>
                <w:rFonts w:ascii="Times New Roman" w:eastAsia="Times New Roman" w:hAnsi="Times New Roman" w:cs="Times New Roman"/>
                <w:b/>
                <w:w w:val="105"/>
                <w:sz w:val="24"/>
                <w:szCs w:val="20"/>
              </w:rPr>
            </w:pPr>
            <w:r w:rsidRPr="007354D8">
              <w:rPr>
                <w:rFonts w:ascii="Times New Roman" w:eastAsia="Times New Roman" w:hAnsi="Times New Roman" w:cs="Times New Roman"/>
                <w:b/>
                <w:w w:val="105"/>
                <w:sz w:val="24"/>
                <w:szCs w:val="20"/>
              </w:rPr>
              <w:t>Full Term</w:t>
            </w:r>
          </w:p>
        </w:tc>
      </w:tr>
      <w:tr w:rsidR="00BC2B68" w:rsidRPr="00F61D74" w:rsidTr="004371C0">
        <w:trPr>
          <w:trHeight w:val="289"/>
          <w:jc w:val="center"/>
        </w:trPr>
        <w:tc>
          <w:tcPr>
            <w:tcW w:w="1748" w:type="dxa"/>
            <w:tcBorders>
              <w:top w:val="thickThinMediumGap" w:sz="12" w:space="0" w:color="000000"/>
              <w:left w:val="thickThinMediumGap" w:sz="12" w:space="0" w:color="000000"/>
              <w:bottom w:val="thickThinMediumGap" w:sz="12" w:space="0" w:color="000000"/>
              <w:right w:val="single" w:sz="4" w:space="0" w:color="000000"/>
            </w:tcBorders>
            <w:shd w:val="clear" w:color="auto" w:fill="F7CAAC" w:themeFill="accent2" w:themeFillTint="66"/>
          </w:tcPr>
          <w:p w:rsidR="00BC2B68" w:rsidRPr="00A37D59" w:rsidRDefault="00BC2B68" w:rsidP="00BC2B68">
            <w:pPr>
              <w:autoSpaceDE w:val="0"/>
              <w:autoSpaceDN w:val="0"/>
              <w:bidi w:val="0"/>
              <w:adjustRightInd w:val="0"/>
              <w:spacing w:before="100" w:after="100" w:line="360" w:lineRule="auto"/>
              <w:ind w:left="114"/>
              <w:jc w:val="both"/>
              <w:rPr>
                <w:rFonts w:asciiTheme="majorBidi" w:hAnsiTheme="majorBidi" w:cstheme="majorBidi"/>
                <w:b/>
                <w:bCs/>
                <w:sz w:val="28"/>
                <w:szCs w:val="28"/>
              </w:rPr>
            </w:pPr>
            <w:r w:rsidRPr="00BC2B68">
              <w:rPr>
                <w:rFonts w:asciiTheme="majorBidi" w:hAnsiTheme="majorBidi" w:cstheme="majorBidi"/>
                <w:b/>
                <w:bCs/>
                <w:sz w:val="28"/>
                <w:szCs w:val="28"/>
              </w:rPr>
              <w:t>ABG</w:t>
            </w:r>
          </w:p>
        </w:tc>
        <w:tc>
          <w:tcPr>
            <w:tcW w:w="6426" w:type="dxa"/>
            <w:tcBorders>
              <w:top w:val="thickThinMediumGap" w:sz="12" w:space="0" w:color="000000"/>
              <w:left w:val="single" w:sz="4" w:space="0" w:color="000000"/>
              <w:bottom w:val="thickThinMediumGap" w:sz="12" w:space="0" w:color="000000"/>
              <w:right w:val="thickThinMediumGap" w:sz="12" w:space="0" w:color="000000"/>
            </w:tcBorders>
          </w:tcPr>
          <w:p w:rsidR="00BC2B68" w:rsidRPr="00A37D59" w:rsidRDefault="00BC2B68" w:rsidP="00BC2B68">
            <w:pPr>
              <w:bidi w:val="0"/>
              <w:spacing w:before="100" w:after="100" w:line="360" w:lineRule="auto"/>
              <w:ind w:left="166"/>
              <w:jc w:val="both"/>
              <w:rPr>
                <w:rFonts w:asciiTheme="majorBidi" w:hAnsiTheme="majorBidi" w:cstheme="majorBidi"/>
                <w:sz w:val="28"/>
                <w:szCs w:val="28"/>
              </w:rPr>
            </w:pPr>
            <w:r w:rsidRPr="00411E93">
              <w:rPr>
                <w:rFonts w:asciiTheme="majorBidi" w:hAnsiTheme="majorBidi" w:cstheme="majorBidi"/>
                <w:bCs/>
                <w:sz w:val="28"/>
                <w:szCs w:val="28"/>
                <w:lang w:bidi="ar-EG"/>
              </w:rPr>
              <w:t>Arterial Blood Gas</w:t>
            </w:r>
          </w:p>
        </w:tc>
      </w:tr>
      <w:tr w:rsidR="00BC2B68" w:rsidRPr="00F61D74" w:rsidTr="004371C0">
        <w:trPr>
          <w:trHeight w:val="289"/>
          <w:jc w:val="center"/>
        </w:trPr>
        <w:tc>
          <w:tcPr>
            <w:tcW w:w="1748" w:type="dxa"/>
            <w:tcBorders>
              <w:top w:val="thickThinMediumGap" w:sz="12" w:space="0" w:color="000000"/>
              <w:left w:val="thickThinMediumGap" w:sz="12" w:space="0" w:color="000000"/>
              <w:bottom w:val="single" w:sz="4" w:space="0" w:color="000000"/>
              <w:right w:val="single" w:sz="4" w:space="0" w:color="000000"/>
            </w:tcBorders>
            <w:shd w:val="clear" w:color="auto" w:fill="F7CAAC" w:themeFill="accent2" w:themeFillTint="66"/>
          </w:tcPr>
          <w:p w:rsidR="00BC2B68" w:rsidRPr="00A37D59" w:rsidRDefault="00BC2B68" w:rsidP="00BC2B68">
            <w:pPr>
              <w:autoSpaceDE w:val="0"/>
              <w:autoSpaceDN w:val="0"/>
              <w:bidi w:val="0"/>
              <w:adjustRightInd w:val="0"/>
              <w:spacing w:before="100" w:after="100" w:line="360" w:lineRule="auto"/>
              <w:ind w:left="114"/>
              <w:jc w:val="both"/>
              <w:rPr>
                <w:rFonts w:asciiTheme="majorBidi" w:hAnsiTheme="majorBidi" w:cstheme="majorBidi"/>
                <w:b/>
                <w:bCs/>
                <w:sz w:val="28"/>
                <w:szCs w:val="28"/>
              </w:rPr>
            </w:pPr>
            <w:r w:rsidRPr="00BC2B68">
              <w:rPr>
                <w:rFonts w:asciiTheme="majorBidi" w:hAnsiTheme="majorBidi" w:cstheme="majorBidi"/>
                <w:b/>
                <w:bCs/>
                <w:sz w:val="28"/>
                <w:szCs w:val="28"/>
              </w:rPr>
              <w:t>CBC</w:t>
            </w:r>
          </w:p>
        </w:tc>
        <w:tc>
          <w:tcPr>
            <w:tcW w:w="6426" w:type="dxa"/>
            <w:tcBorders>
              <w:top w:val="thickThinMediumGap" w:sz="12" w:space="0" w:color="000000"/>
              <w:left w:val="single" w:sz="4" w:space="0" w:color="000000"/>
              <w:bottom w:val="single" w:sz="4" w:space="0" w:color="000000"/>
              <w:right w:val="thickThinMediumGap" w:sz="12" w:space="0" w:color="000000"/>
            </w:tcBorders>
          </w:tcPr>
          <w:p w:rsidR="00BC2B68" w:rsidRPr="00A37D59" w:rsidRDefault="00BC2B68" w:rsidP="00BC2B68">
            <w:pPr>
              <w:bidi w:val="0"/>
              <w:spacing w:before="100" w:after="100" w:line="360" w:lineRule="auto"/>
              <w:ind w:left="166"/>
              <w:jc w:val="both"/>
              <w:rPr>
                <w:rFonts w:asciiTheme="majorBidi" w:eastAsia="Calibri" w:hAnsiTheme="majorBidi" w:cstheme="majorBidi"/>
                <w:iCs/>
                <w:sz w:val="28"/>
                <w:szCs w:val="28"/>
              </w:rPr>
            </w:pPr>
            <w:r w:rsidRPr="00411E93">
              <w:rPr>
                <w:rFonts w:asciiTheme="majorBidi" w:hAnsiTheme="majorBidi" w:cstheme="majorBidi"/>
                <w:bCs/>
                <w:sz w:val="28"/>
                <w:szCs w:val="28"/>
                <w:lang w:bidi="ar-EG"/>
              </w:rPr>
              <w:t>Complete Blood Count</w:t>
            </w:r>
          </w:p>
        </w:tc>
      </w:tr>
      <w:tr w:rsidR="00BC2B68" w:rsidRPr="00F61D74" w:rsidTr="004371C0">
        <w:trPr>
          <w:trHeight w:val="289"/>
          <w:jc w:val="center"/>
        </w:trPr>
        <w:tc>
          <w:tcPr>
            <w:tcW w:w="1748" w:type="dxa"/>
            <w:tcBorders>
              <w:top w:val="thickThinMediumGap" w:sz="12" w:space="0" w:color="000000"/>
              <w:left w:val="thickThinMediumGap" w:sz="12" w:space="0" w:color="000000"/>
              <w:bottom w:val="single" w:sz="4" w:space="0" w:color="000000"/>
              <w:right w:val="single" w:sz="4" w:space="0" w:color="000000"/>
            </w:tcBorders>
            <w:shd w:val="clear" w:color="auto" w:fill="F7CAAC" w:themeFill="accent2" w:themeFillTint="66"/>
          </w:tcPr>
          <w:p w:rsidR="00BC2B68" w:rsidRPr="00A37D59" w:rsidRDefault="00BC2B68" w:rsidP="00BC2B68">
            <w:pPr>
              <w:autoSpaceDE w:val="0"/>
              <w:autoSpaceDN w:val="0"/>
              <w:bidi w:val="0"/>
              <w:adjustRightInd w:val="0"/>
              <w:spacing w:before="100" w:after="100" w:line="360" w:lineRule="auto"/>
              <w:ind w:left="114"/>
              <w:jc w:val="both"/>
              <w:rPr>
                <w:rFonts w:asciiTheme="majorBidi" w:hAnsiTheme="majorBidi" w:cstheme="majorBidi"/>
                <w:b/>
                <w:bCs/>
                <w:sz w:val="28"/>
                <w:szCs w:val="28"/>
              </w:rPr>
            </w:pPr>
            <w:r w:rsidRPr="00BC2B68">
              <w:rPr>
                <w:rFonts w:asciiTheme="majorBidi" w:hAnsiTheme="majorBidi" w:cstheme="majorBidi"/>
                <w:b/>
                <w:bCs/>
                <w:sz w:val="28"/>
                <w:szCs w:val="28"/>
              </w:rPr>
              <w:t>CNS</w:t>
            </w:r>
          </w:p>
        </w:tc>
        <w:tc>
          <w:tcPr>
            <w:tcW w:w="6426" w:type="dxa"/>
            <w:tcBorders>
              <w:top w:val="thickThinMediumGap" w:sz="12" w:space="0" w:color="000000"/>
              <w:left w:val="single" w:sz="4" w:space="0" w:color="000000"/>
              <w:bottom w:val="single" w:sz="4" w:space="0" w:color="000000"/>
              <w:right w:val="thickThinMediumGap" w:sz="12" w:space="0" w:color="000000"/>
            </w:tcBorders>
          </w:tcPr>
          <w:p w:rsidR="00BC2B68" w:rsidRPr="00A37D59" w:rsidRDefault="00BC2B68" w:rsidP="00BC2B68">
            <w:pPr>
              <w:bidi w:val="0"/>
              <w:spacing w:before="100" w:after="100" w:line="360" w:lineRule="auto"/>
              <w:ind w:left="166"/>
              <w:jc w:val="both"/>
              <w:rPr>
                <w:rFonts w:asciiTheme="majorBidi" w:eastAsia="Calibri" w:hAnsiTheme="majorBidi" w:cstheme="majorBidi"/>
                <w:iCs/>
                <w:sz w:val="28"/>
                <w:szCs w:val="28"/>
              </w:rPr>
            </w:pPr>
            <w:r w:rsidRPr="00411E93">
              <w:rPr>
                <w:rFonts w:asciiTheme="majorBidi" w:hAnsiTheme="majorBidi" w:cstheme="majorBidi"/>
                <w:bCs/>
                <w:sz w:val="28"/>
                <w:szCs w:val="28"/>
                <w:lang w:bidi="ar-EG"/>
              </w:rPr>
              <w:t>Central Nervous System</w:t>
            </w:r>
          </w:p>
        </w:tc>
      </w:tr>
      <w:tr w:rsidR="00BC2B68" w:rsidRPr="00F61D74" w:rsidTr="004371C0">
        <w:trPr>
          <w:trHeight w:val="289"/>
          <w:jc w:val="center"/>
        </w:trPr>
        <w:tc>
          <w:tcPr>
            <w:tcW w:w="1748" w:type="dxa"/>
            <w:tcBorders>
              <w:top w:val="thickThinMediumGap" w:sz="12" w:space="0" w:color="000000"/>
              <w:left w:val="thickThinMediumGap" w:sz="12" w:space="0" w:color="000000"/>
              <w:bottom w:val="thickThinMediumGap" w:sz="12" w:space="0" w:color="000000"/>
              <w:right w:val="single" w:sz="4" w:space="0" w:color="000000"/>
            </w:tcBorders>
            <w:shd w:val="clear" w:color="auto" w:fill="F7CAAC" w:themeFill="accent2" w:themeFillTint="66"/>
          </w:tcPr>
          <w:p w:rsidR="00BC2B68" w:rsidRPr="00A37D59" w:rsidRDefault="00BC2B68" w:rsidP="00BC2B68">
            <w:pPr>
              <w:autoSpaceDE w:val="0"/>
              <w:autoSpaceDN w:val="0"/>
              <w:bidi w:val="0"/>
              <w:adjustRightInd w:val="0"/>
              <w:spacing w:before="100" w:after="100" w:line="360" w:lineRule="auto"/>
              <w:ind w:left="114"/>
              <w:jc w:val="both"/>
              <w:rPr>
                <w:rFonts w:asciiTheme="majorBidi" w:hAnsiTheme="majorBidi" w:cstheme="majorBidi"/>
                <w:b/>
                <w:bCs/>
                <w:sz w:val="28"/>
                <w:szCs w:val="28"/>
              </w:rPr>
            </w:pPr>
            <w:r w:rsidRPr="00BC2B68">
              <w:rPr>
                <w:rFonts w:asciiTheme="majorBidi" w:hAnsiTheme="majorBidi" w:cstheme="majorBidi"/>
                <w:b/>
                <w:bCs/>
                <w:sz w:val="28"/>
                <w:szCs w:val="28"/>
              </w:rPr>
              <w:t>KFT</w:t>
            </w:r>
          </w:p>
        </w:tc>
        <w:tc>
          <w:tcPr>
            <w:tcW w:w="6426" w:type="dxa"/>
            <w:tcBorders>
              <w:top w:val="thickThinMediumGap" w:sz="12" w:space="0" w:color="000000"/>
              <w:left w:val="single" w:sz="4" w:space="0" w:color="000000"/>
              <w:bottom w:val="thickThinMediumGap" w:sz="12" w:space="0" w:color="000000"/>
              <w:right w:val="thickThinMediumGap" w:sz="12" w:space="0" w:color="000000"/>
            </w:tcBorders>
          </w:tcPr>
          <w:p w:rsidR="00BC2B68" w:rsidRPr="00A37D59" w:rsidRDefault="00BC2B68" w:rsidP="00BC2B68">
            <w:pPr>
              <w:bidi w:val="0"/>
              <w:spacing w:before="100" w:after="100" w:line="360" w:lineRule="auto"/>
              <w:ind w:left="166"/>
              <w:jc w:val="both"/>
              <w:rPr>
                <w:rFonts w:asciiTheme="majorBidi" w:eastAsia="Calibri" w:hAnsiTheme="majorBidi" w:cstheme="majorBidi"/>
                <w:iCs/>
                <w:sz w:val="28"/>
                <w:szCs w:val="28"/>
              </w:rPr>
            </w:pPr>
            <w:r w:rsidRPr="00411E93">
              <w:rPr>
                <w:rFonts w:asciiTheme="majorBidi" w:hAnsiTheme="majorBidi" w:cstheme="majorBidi"/>
                <w:bCs/>
                <w:sz w:val="28"/>
                <w:szCs w:val="28"/>
                <w:lang w:bidi="ar-EG"/>
              </w:rPr>
              <w:t>Kidney Function Tests</w:t>
            </w:r>
          </w:p>
        </w:tc>
      </w:tr>
      <w:tr w:rsidR="00BC2B68" w:rsidRPr="00F61D74" w:rsidTr="004371C0">
        <w:trPr>
          <w:trHeight w:val="289"/>
          <w:jc w:val="center"/>
        </w:trPr>
        <w:tc>
          <w:tcPr>
            <w:tcW w:w="1748" w:type="dxa"/>
            <w:tcBorders>
              <w:top w:val="thickThinMediumGap" w:sz="12" w:space="0" w:color="000000"/>
              <w:left w:val="thickThinMediumGap" w:sz="12" w:space="0" w:color="000000"/>
              <w:bottom w:val="thickThinMediumGap" w:sz="12" w:space="0" w:color="000000"/>
              <w:right w:val="single" w:sz="4" w:space="0" w:color="000000"/>
            </w:tcBorders>
            <w:shd w:val="clear" w:color="auto" w:fill="F7CAAC" w:themeFill="accent2" w:themeFillTint="66"/>
          </w:tcPr>
          <w:p w:rsidR="00BC2B68" w:rsidRPr="00A37D59" w:rsidRDefault="00BC2B68" w:rsidP="00BC2B68">
            <w:pPr>
              <w:autoSpaceDE w:val="0"/>
              <w:autoSpaceDN w:val="0"/>
              <w:bidi w:val="0"/>
              <w:adjustRightInd w:val="0"/>
              <w:spacing w:before="100" w:after="100" w:line="360" w:lineRule="auto"/>
              <w:ind w:left="114"/>
              <w:jc w:val="both"/>
              <w:rPr>
                <w:rFonts w:asciiTheme="majorBidi" w:hAnsiTheme="majorBidi" w:cstheme="majorBidi"/>
                <w:b/>
                <w:bCs/>
                <w:sz w:val="28"/>
                <w:szCs w:val="28"/>
              </w:rPr>
            </w:pPr>
            <w:r w:rsidRPr="00BC2B68">
              <w:rPr>
                <w:rFonts w:asciiTheme="majorBidi" w:hAnsiTheme="majorBidi" w:cstheme="majorBidi"/>
                <w:b/>
                <w:bCs/>
                <w:sz w:val="28"/>
                <w:szCs w:val="28"/>
              </w:rPr>
              <w:t>Kg</w:t>
            </w:r>
          </w:p>
        </w:tc>
        <w:tc>
          <w:tcPr>
            <w:tcW w:w="6426" w:type="dxa"/>
            <w:tcBorders>
              <w:top w:val="thickThinMediumGap" w:sz="12" w:space="0" w:color="000000"/>
              <w:left w:val="single" w:sz="4" w:space="0" w:color="000000"/>
              <w:bottom w:val="thickThinMediumGap" w:sz="12" w:space="0" w:color="000000"/>
              <w:right w:val="thickThinMediumGap" w:sz="12" w:space="0" w:color="000000"/>
            </w:tcBorders>
          </w:tcPr>
          <w:p w:rsidR="00BC2B68" w:rsidRPr="00A37D59" w:rsidRDefault="00BC2B68" w:rsidP="00BC2B68">
            <w:pPr>
              <w:bidi w:val="0"/>
              <w:spacing w:before="100" w:after="100" w:line="360" w:lineRule="auto"/>
              <w:ind w:left="166"/>
              <w:jc w:val="both"/>
              <w:rPr>
                <w:rFonts w:asciiTheme="majorBidi" w:eastAsia="Calibri" w:hAnsiTheme="majorBidi" w:cstheme="majorBidi"/>
                <w:iCs/>
                <w:sz w:val="28"/>
                <w:szCs w:val="28"/>
              </w:rPr>
            </w:pPr>
            <w:r w:rsidRPr="00411E93">
              <w:rPr>
                <w:rFonts w:asciiTheme="majorBidi" w:hAnsiTheme="majorBidi" w:cstheme="majorBidi"/>
                <w:bCs/>
                <w:sz w:val="28"/>
                <w:szCs w:val="28"/>
                <w:lang w:bidi="ar-EG"/>
              </w:rPr>
              <w:t>Kilogram</w:t>
            </w:r>
          </w:p>
        </w:tc>
      </w:tr>
      <w:tr w:rsidR="00BC2B68" w:rsidRPr="00F61D74" w:rsidTr="004371C0">
        <w:trPr>
          <w:trHeight w:val="289"/>
          <w:jc w:val="center"/>
        </w:trPr>
        <w:tc>
          <w:tcPr>
            <w:tcW w:w="1748" w:type="dxa"/>
            <w:tcBorders>
              <w:top w:val="thickThinMediumGap" w:sz="12" w:space="0" w:color="000000"/>
              <w:left w:val="thickThinMediumGap" w:sz="12" w:space="0" w:color="000000"/>
              <w:bottom w:val="thickThinMediumGap" w:sz="12" w:space="0" w:color="000000"/>
              <w:right w:val="single" w:sz="4" w:space="0" w:color="000000"/>
            </w:tcBorders>
            <w:shd w:val="clear" w:color="auto" w:fill="F7CAAC" w:themeFill="accent2" w:themeFillTint="66"/>
          </w:tcPr>
          <w:p w:rsidR="00BC2B68" w:rsidRPr="00A37D59" w:rsidRDefault="00BC2B68" w:rsidP="00BC2B68">
            <w:pPr>
              <w:autoSpaceDE w:val="0"/>
              <w:autoSpaceDN w:val="0"/>
              <w:bidi w:val="0"/>
              <w:adjustRightInd w:val="0"/>
              <w:spacing w:before="100" w:after="100" w:line="360" w:lineRule="auto"/>
              <w:ind w:left="114"/>
              <w:jc w:val="both"/>
              <w:rPr>
                <w:rFonts w:asciiTheme="majorBidi" w:hAnsiTheme="majorBidi" w:cstheme="majorBidi"/>
                <w:b/>
                <w:bCs/>
                <w:sz w:val="28"/>
                <w:szCs w:val="28"/>
              </w:rPr>
            </w:pPr>
            <w:r w:rsidRPr="00BC2B68">
              <w:rPr>
                <w:rFonts w:asciiTheme="majorBidi" w:hAnsiTheme="majorBidi" w:cstheme="majorBidi"/>
                <w:b/>
                <w:bCs/>
                <w:sz w:val="28"/>
                <w:szCs w:val="28"/>
              </w:rPr>
              <w:t>LFT</w:t>
            </w:r>
          </w:p>
        </w:tc>
        <w:tc>
          <w:tcPr>
            <w:tcW w:w="6426" w:type="dxa"/>
            <w:tcBorders>
              <w:top w:val="thickThinMediumGap" w:sz="12" w:space="0" w:color="000000"/>
              <w:left w:val="single" w:sz="4" w:space="0" w:color="000000"/>
              <w:bottom w:val="thickThinMediumGap" w:sz="12" w:space="0" w:color="000000"/>
              <w:right w:val="thickThinMediumGap" w:sz="12" w:space="0" w:color="000000"/>
            </w:tcBorders>
          </w:tcPr>
          <w:p w:rsidR="00BC2B68" w:rsidRPr="00A37D59" w:rsidRDefault="00BC2B68" w:rsidP="00BC2B68">
            <w:pPr>
              <w:bidi w:val="0"/>
              <w:spacing w:before="100" w:after="100" w:line="360" w:lineRule="auto"/>
              <w:ind w:left="166"/>
              <w:jc w:val="both"/>
              <w:rPr>
                <w:rFonts w:asciiTheme="majorBidi" w:eastAsia="Calibri" w:hAnsiTheme="majorBidi" w:cstheme="majorBidi"/>
                <w:iCs/>
                <w:sz w:val="28"/>
                <w:szCs w:val="28"/>
              </w:rPr>
            </w:pPr>
            <w:r w:rsidRPr="00411E93">
              <w:rPr>
                <w:rFonts w:asciiTheme="majorBidi" w:hAnsiTheme="majorBidi" w:cstheme="majorBidi"/>
                <w:bCs/>
                <w:sz w:val="28"/>
                <w:szCs w:val="28"/>
                <w:lang w:bidi="ar-EG"/>
              </w:rPr>
              <w:t>Liver Function Tests</w:t>
            </w:r>
          </w:p>
        </w:tc>
      </w:tr>
      <w:tr w:rsidR="00BC2B68" w:rsidRPr="00F61D74" w:rsidTr="004371C0">
        <w:trPr>
          <w:trHeight w:val="289"/>
          <w:jc w:val="center"/>
        </w:trPr>
        <w:tc>
          <w:tcPr>
            <w:tcW w:w="1748" w:type="dxa"/>
            <w:tcBorders>
              <w:top w:val="thickThinMediumGap" w:sz="12" w:space="0" w:color="000000"/>
              <w:left w:val="thickThinMediumGap" w:sz="12" w:space="0" w:color="000000"/>
              <w:bottom w:val="thickThinMediumGap" w:sz="12" w:space="0" w:color="000000"/>
              <w:right w:val="single" w:sz="4" w:space="0" w:color="000000"/>
            </w:tcBorders>
            <w:shd w:val="clear" w:color="auto" w:fill="F7CAAC" w:themeFill="accent2" w:themeFillTint="66"/>
          </w:tcPr>
          <w:p w:rsidR="00BC2B68" w:rsidRPr="00A37D59" w:rsidRDefault="00BC2B68" w:rsidP="00BC2B68">
            <w:pPr>
              <w:autoSpaceDE w:val="0"/>
              <w:autoSpaceDN w:val="0"/>
              <w:bidi w:val="0"/>
              <w:adjustRightInd w:val="0"/>
              <w:spacing w:before="100" w:after="100" w:line="360" w:lineRule="auto"/>
              <w:ind w:left="114"/>
              <w:jc w:val="both"/>
              <w:rPr>
                <w:rFonts w:asciiTheme="majorBidi" w:hAnsiTheme="majorBidi" w:cstheme="majorBidi"/>
                <w:b/>
                <w:bCs/>
                <w:sz w:val="28"/>
                <w:szCs w:val="28"/>
              </w:rPr>
            </w:pPr>
            <w:r w:rsidRPr="00BC2B68">
              <w:rPr>
                <w:rFonts w:asciiTheme="majorBidi" w:hAnsiTheme="majorBidi" w:cstheme="majorBidi"/>
                <w:b/>
                <w:bCs/>
                <w:sz w:val="28"/>
                <w:szCs w:val="28"/>
              </w:rPr>
              <w:t>Mg</w:t>
            </w:r>
          </w:p>
        </w:tc>
        <w:tc>
          <w:tcPr>
            <w:tcW w:w="6426" w:type="dxa"/>
            <w:tcBorders>
              <w:top w:val="thickThinMediumGap" w:sz="12" w:space="0" w:color="000000"/>
              <w:left w:val="single" w:sz="4" w:space="0" w:color="000000"/>
              <w:bottom w:val="thickThinMediumGap" w:sz="12" w:space="0" w:color="000000"/>
              <w:right w:val="thickThinMediumGap" w:sz="12" w:space="0" w:color="000000"/>
            </w:tcBorders>
          </w:tcPr>
          <w:p w:rsidR="00BC2B68" w:rsidRPr="00A37D59" w:rsidRDefault="00BC2B68" w:rsidP="00BC2B68">
            <w:pPr>
              <w:bidi w:val="0"/>
              <w:spacing w:before="100" w:after="100" w:line="360" w:lineRule="auto"/>
              <w:ind w:left="166"/>
              <w:jc w:val="both"/>
              <w:rPr>
                <w:rFonts w:asciiTheme="majorBidi" w:eastAsia="Calibri" w:hAnsiTheme="majorBidi" w:cstheme="majorBidi"/>
                <w:iCs/>
                <w:sz w:val="28"/>
                <w:szCs w:val="28"/>
              </w:rPr>
            </w:pPr>
            <w:r w:rsidRPr="00411E93">
              <w:rPr>
                <w:rFonts w:asciiTheme="majorBidi" w:hAnsiTheme="majorBidi" w:cstheme="majorBidi"/>
                <w:bCs/>
                <w:sz w:val="28"/>
                <w:szCs w:val="28"/>
                <w:lang w:bidi="ar-EG"/>
              </w:rPr>
              <w:t>Milligram</w:t>
            </w:r>
          </w:p>
        </w:tc>
      </w:tr>
      <w:tr w:rsidR="00BC2B68" w:rsidRPr="00F61D74" w:rsidTr="004371C0">
        <w:trPr>
          <w:trHeight w:val="289"/>
          <w:jc w:val="center"/>
        </w:trPr>
        <w:tc>
          <w:tcPr>
            <w:tcW w:w="1748" w:type="dxa"/>
            <w:tcBorders>
              <w:top w:val="thickThinMediumGap" w:sz="12" w:space="0" w:color="000000"/>
              <w:left w:val="thickThinMediumGap" w:sz="12" w:space="0" w:color="000000"/>
              <w:bottom w:val="thickThinMediumGap" w:sz="12" w:space="0" w:color="000000"/>
              <w:right w:val="single" w:sz="4" w:space="0" w:color="000000"/>
            </w:tcBorders>
            <w:shd w:val="clear" w:color="auto" w:fill="F7CAAC" w:themeFill="accent2" w:themeFillTint="66"/>
          </w:tcPr>
          <w:p w:rsidR="00BC2B68" w:rsidRPr="00A37D59" w:rsidRDefault="00BC2B68" w:rsidP="00BC2B68">
            <w:pPr>
              <w:autoSpaceDE w:val="0"/>
              <w:autoSpaceDN w:val="0"/>
              <w:bidi w:val="0"/>
              <w:adjustRightInd w:val="0"/>
              <w:spacing w:before="100" w:after="100" w:line="360" w:lineRule="auto"/>
              <w:ind w:left="114"/>
              <w:jc w:val="both"/>
              <w:rPr>
                <w:rFonts w:asciiTheme="majorBidi" w:hAnsiTheme="majorBidi" w:cstheme="majorBidi"/>
                <w:b/>
                <w:bCs/>
                <w:sz w:val="28"/>
                <w:szCs w:val="28"/>
              </w:rPr>
            </w:pPr>
            <w:r w:rsidRPr="00BC2B68">
              <w:rPr>
                <w:rFonts w:asciiTheme="majorBidi" w:hAnsiTheme="majorBidi" w:cstheme="majorBidi"/>
                <w:b/>
                <w:bCs/>
                <w:sz w:val="28"/>
                <w:szCs w:val="28"/>
              </w:rPr>
              <w:t>mL</w:t>
            </w:r>
          </w:p>
        </w:tc>
        <w:tc>
          <w:tcPr>
            <w:tcW w:w="6426" w:type="dxa"/>
            <w:tcBorders>
              <w:top w:val="thickThinMediumGap" w:sz="12" w:space="0" w:color="000000"/>
              <w:left w:val="single" w:sz="4" w:space="0" w:color="000000"/>
              <w:bottom w:val="thickThinMediumGap" w:sz="12" w:space="0" w:color="000000"/>
              <w:right w:val="thickThinMediumGap" w:sz="12" w:space="0" w:color="000000"/>
            </w:tcBorders>
          </w:tcPr>
          <w:p w:rsidR="00BC2B68" w:rsidRPr="00A37D59" w:rsidRDefault="00BC2B68" w:rsidP="00BC2B68">
            <w:pPr>
              <w:bidi w:val="0"/>
              <w:spacing w:before="100" w:after="100" w:line="360" w:lineRule="auto"/>
              <w:ind w:left="166"/>
              <w:jc w:val="both"/>
              <w:rPr>
                <w:rFonts w:asciiTheme="majorBidi" w:eastAsia="Calibri" w:hAnsiTheme="majorBidi" w:cstheme="majorBidi"/>
                <w:iCs/>
                <w:sz w:val="28"/>
                <w:szCs w:val="28"/>
              </w:rPr>
            </w:pPr>
            <w:r w:rsidRPr="00411E93">
              <w:rPr>
                <w:rFonts w:asciiTheme="majorBidi" w:hAnsiTheme="majorBidi" w:cstheme="majorBidi"/>
                <w:bCs/>
                <w:sz w:val="28"/>
                <w:szCs w:val="28"/>
                <w:lang w:bidi="ar-EG"/>
              </w:rPr>
              <w:t>Milliliter</w:t>
            </w:r>
          </w:p>
        </w:tc>
      </w:tr>
      <w:tr w:rsidR="00BC2B68" w:rsidRPr="00F61D74" w:rsidTr="004371C0">
        <w:trPr>
          <w:trHeight w:val="289"/>
          <w:jc w:val="center"/>
        </w:trPr>
        <w:tc>
          <w:tcPr>
            <w:tcW w:w="1748" w:type="dxa"/>
            <w:tcBorders>
              <w:top w:val="thickThinMediumGap" w:sz="12" w:space="0" w:color="000000"/>
              <w:left w:val="thickThinMediumGap" w:sz="12" w:space="0" w:color="000000"/>
              <w:bottom w:val="thickThinMediumGap" w:sz="12" w:space="0" w:color="000000"/>
              <w:right w:val="single" w:sz="4" w:space="0" w:color="000000"/>
            </w:tcBorders>
            <w:shd w:val="clear" w:color="auto" w:fill="F7CAAC" w:themeFill="accent2" w:themeFillTint="66"/>
          </w:tcPr>
          <w:p w:rsidR="00BC2B68" w:rsidRPr="00A37D59" w:rsidRDefault="00BC2B68" w:rsidP="00BC2B68">
            <w:pPr>
              <w:autoSpaceDE w:val="0"/>
              <w:autoSpaceDN w:val="0"/>
              <w:bidi w:val="0"/>
              <w:adjustRightInd w:val="0"/>
              <w:spacing w:before="100" w:after="100" w:line="360" w:lineRule="auto"/>
              <w:ind w:left="114"/>
              <w:jc w:val="both"/>
              <w:rPr>
                <w:rFonts w:asciiTheme="majorBidi" w:hAnsiTheme="majorBidi" w:cstheme="majorBidi"/>
                <w:b/>
                <w:bCs/>
                <w:sz w:val="28"/>
                <w:szCs w:val="28"/>
              </w:rPr>
            </w:pPr>
            <w:r w:rsidRPr="00BC2B68">
              <w:rPr>
                <w:rFonts w:asciiTheme="majorBidi" w:hAnsiTheme="majorBidi" w:cstheme="majorBidi"/>
                <w:b/>
                <w:bCs/>
                <w:sz w:val="28"/>
                <w:szCs w:val="28"/>
              </w:rPr>
              <w:t>SD</w:t>
            </w:r>
          </w:p>
        </w:tc>
        <w:tc>
          <w:tcPr>
            <w:tcW w:w="6426" w:type="dxa"/>
            <w:tcBorders>
              <w:top w:val="thickThinMediumGap" w:sz="12" w:space="0" w:color="000000"/>
              <w:left w:val="single" w:sz="4" w:space="0" w:color="000000"/>
              <w:bottom w:val="thickThinMediumGap" w:sz="12" w:space="0" w:color="000000"/>
              <w:right w:val="thickThinMediumGap" w:sz="12" w:space="0" w:color="000000"/>
            </w:tcBorders>
          </w:tcPr>
          <w:p w:rsidR="00BC2B68" w:rsidRPr="00A37D59" w:rsidRDefault="00BC2B68" w:rsidP="00BC2B68">
            <w:pPr>
              <w:bidi w:val="0"/>
              <w:spacing w:before="100" w:after="100" w:line="360" w:lineRule="auto"/>
              <w:ind w:left="166"/>
              <w:jc w:val="both"/>
              <w:rPr>
                <w:rFonts w:asciiTheme="majorBidi" w:eastAsia="Calibri" w:hAnsiTheme="majorBidi" w:cstheme="majorBidi"/>
                <w:iCs/>
                <w:sz w:val="28"/>
                <w:szCs w:val="28"/>
              </w:rPr>
            </w:pPr>
            <w:r w:rsidRPr="00411E93">
              <w:rPr>
                <w:rFonts w:asciiTheme="majorBidi" w:hAnsiTheme="majorBidi" w:cstheme="majorBidi"/>
                <w:bCs/>
                <w:sz w:val="28"/>
                <w:szCs w:val="28"/>
                <w:lang w:bidi="ar-EG"/>
              </w:rPr>
              <w:t>Standard Deviation</w:t>
            </w:r>
          </w:p>
        </w:tc>
      </w:tr>
      <w:tr w:rsidR="00BC2B68" w:rsidRPr="00F61D74" w:rsidTr="004371C0">
        <w:trPr>
          <w:trHeight w:val="289"/>
          <w:jc w:val="center"/>
        </w:trPr>
        <w:tc>
          <w:tcPr>
            <w:tcW w:w="1748" w:type="dxa"/>
            <w:tcBorders>
              <w:top w:val="thickThinMediumGap" w:sz="12" w:space="0" w:color="000000"/>
              <w:left w:val="thickThinMediumGap" w:sz="12" w:space="0" w:color="000000"/>
              <w:bottom w:val="single" w:sz="4" w:space="0" w:color="000000"/>
              <w:right w:val="single" w:sz="4" w:space="0" w:color="000000"/>
            </w:tcBorders>
            <w:shd w:val="clear" w:color="auto" w:fill="F7CAAC" w:themeFill="accent2" w:themeFillTint="66"/>
          </w:tcPr>
          <w:p w:rsidR="00BC2B68" w:rsidRPr="00A37D59" w:rsidRDefault="00BC2B68" w:rsidP="00BC2B68">
            <w:pPr>
              <w:autoSpaceDE w:val="0"/>
              <w:autoSpaceDN w:val="0"/>
              <w:bidi w:val="0"/>
              <w:adjustRightInd w:val="0"/>
              <w:spacing w:before="100" w:after="100" w:line="360" w:lineRule="auto"/>
              <w:ind w:left="114"/>
              <w:jc w:val="both"/>
              <w:rPr>
                <w:rFonts w:asciiTheme="majorBidi" w:hAnsiTheme="majorBidi" w:cstheme="majorBidi"/>
                <w:b/>
                <w:bCs/>
                <w:sz w:val="28"/>
                <w:szCs w:val="28"/>
              </w:rPr>
            </w:pPr>
            <w:r w:rsidRPr="00BC2B68">
              <w:rPr>
                <w:rFonts w:asciiTheme="majorBidi" w:hAnsiTheme="majorBidi" w:cstheme="majorBidi"/>
                <w:b/>
                <w:bCs/>
                <w:sz w:val="28"/>
                <w:szCs w:val="28"/>
              </w:rPr>
              <w:t>SPSS</w:t>
            </w:r>
          </w:p>
        </w:tc>
        <w:tc>
          <w:tcPr>
            <w:tcW w:w="6426" w:type="dxa"/>
            <w:tcBorders>
              <w:top w:val="thickThinMediumGap" w:sz="12" w:space="0" w:color="000000"/>
              <w:left w:val="single" w:sz="4" w:space="0" w:color="000000"/>
              <w:bottom w:val="single" w:sz="4" w:space="0" w:color="000000"/>
              <w:right w:val="thickThinMediumGap" w:sz="12" w:space="0" w:color="000000"/>
            </w:tcBorders>
          </w:tcPr>
          <w:p w:rsidR="00BC2B68" w:rsidRPr="00A37D59" w:rsidRDefault="00BC2B68" w:rsidP="00BC2B68">
            <w:pPr>
              <w:bidi w:val="0"/>
              <w:spacing w:before="100" w:after="100" w:line="360" w:lineRule="auto"/>
              <w:ind w:left="166"/>
              <w:jc w:val="both"/>
              <w:rPr>
                <w:rFonts w:asciiTheme="majorBidi" w:eastAsia="Calibri" w:hAnsiTheme="majorBidi" w:cstheme="majorBidi"/>
                <w:iCs/>
                <w:sz w:val="28"/>
                <w:szCs w:val="28"/>
              </w:rPr>
            </w:pPr>
            <w:r w:rsidRPr="00411E93">
              <w:rPr>
                <w:rFonts w:asciiTheme="majorBidi" w:hAnsiTheme="majorBidi" w:cstheme="majorBidi"/>
                <w:bCs/>
                <w:sz w:val="28"/>
                <w:szCs w:val="28"/>
                <w:lang w:bidi="ar-EG"/>
              </w:rPr>
              <w:t>Statistical Package For Social Sciences</w:t>
            </w:r>
          </w:p>
        </w:tc>
      </w:tr>
    </w:tbl>
    <w:p w:rsidR="0092311A" w:rsidRDefault="0092311A" w:rsidP="0092311A">
      <w:pPr>
        <w:bidi w:val="0"/>
        <w:jc w:val="center"/>
        <w:rPr>
          <w:rFonts w:ascii="Times New Roman" w:eastAsia="Times New Roman" w:hAnsi="Times New Roman" w:cs="Times New Roman"/>
          <w:sz w:val="24"/>
          <w:szCs w:val="24"/>
          <w:lang w:bidi="ar-EG"/>
        </w:rPr>
        <w:sectPr w:rsidR="0092311A" w:rsidSect="004371C0">
          <w:footerReference w:type="default" r:id="rId16"/>
          <w:pgSz w:w="11906" w:h="16838" w:code="9"/>
          <w:pgMar w:top="1440" w:right="1800" w:bottom="1440" w:left="1800" w:header="851" w:footer="851" w:gutter="0"/>
          <w:pgNumType w:fmt="upperRoman" w:start="1"/>
          <w:cols w:space="708"/>
          <w:bidi/>
          <w:rtlGutter/>
          <w:docGrid w:linePitch="360"/>
        </w:sectPr>
      </w:pPr>
    </w:p>
    <w:p w:rsidR="0092311A" w:rsidRPr="007354D8" w:rsidRDefault="0092311A" w:rsidP="0092311A">
      <w:pPr>
        <w:bidi w:val="0"/>
        <w:jc w:val="center"/>
        <w:rPr>
          <w:rFonts w:ascii="Times New Roman" w:eastAsia="Times New Roman" w:hAnsi="Times New Roman" w:cs="Times New Roman"/>
          <w:sz w:val="24"/>
          <w:szCs w:val="24"/>
          <w:lang w:bidi="ar-EG"/>
        </w:rPr>
      </w:pPr>
      <w:r w:rsidRPr="00F61D74">
        <w:rPr>
          <w:rFonts w:ascii="Times New Roman" w:eastAsia="Times New Roman" w:hAnsi="Times New Roman" w:cs="Traditional Arabic"/>
          <w:b/>
          <w:bCs/>
          <w:caps/>
          <w:snapToGrid w:val="0"/>
          <w:sz w:val="28"/>
          <w:szCs w:val="28"/>
        </w:rPr>
        <w:lastRenderedPageBreak/>
        <w:t>List of Tables</w:t>
      </w:r>
    </w:p>
    <w:tbl>
      <w:tblPr>
        <w:tblStyle w:val="GridTable4-Accent11"/>
        <w:tblW w:w="5000" w:type="pct"/>
        <w:tblLook w:val="06A0" w:firstRow="1" w:lastRow="0" w:firstColumn="1" w:lastColumn="0" w:noHBand="1" w:noVBand="1"/>
      </w:tblPr>
      <w:tblGrid>
        <w:gridCol w:w="1224"/>
        <w:gridCol w:w="6485"/>
        <w:gridCol w:w="813"/>
      </w:tblGrid>
      <w:tr w:rsidR="0092311A" w:rsidRPr="00610F79" w:rsidTr="00610F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92311A" w:rsidRPr="00610F79" w:rsidRDefault="0092311A" w:rsidP="004371C0">
            <w:pPr>
              <w:bidi w:val="0"/>
              <w:spacing w:before="100" w:after="100"/>
              <w:jc w:val="center"/>
              <w:rPr>
                <w:rFonts w:asciiTheme="majorBidi" w:hAnsiTheme="majorBidi" w:cstheme="majorBidi"/>
                <w:sz w:val="28"/>
                <w:szCs w:val="28"/>
                <w:lang w:bidi="ar-EG"/>
              </w:rPr>
            </w:pPr>
            <w:r w:rsidRPr="00610F79">
              <w:rPr>
                <w:rFonts w:asciiTheme="majorBidi" w:hAnsiTheme="majorBidi" w:cstheme="majorBidi"/>
                <w:sz w:val="28"/>
                <w:szCs w:val="28"/>
                <w:lang w:bidi="ar-EG"/>
              </w:rPr>
              <w:t>Table NO.</w:t>
            </w:r>
          </w:p>
        </w:tc>
        <w:tc>
          <w:tcPr>
            <w:tcW w:w="3805" w:type="pct"/>
            <w:vAlign w:val="center"/>
          </w:tcPr>
          <w:p w:rsidR="0092311A" w:rsidRPr="00610F79" w:rsidRDefault="0092311A" w:rsidP="004371C0">
            <w:pPr>
              <w:bidi w:val="0"/>
              <w:spacing w:before="100" w:after="10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sidRPr="00610F79">
              <w:rPr>
                <w:rFonts w:asciiTheme="majorBidi" w:hAnsiTheme="majorBidi" w:cstheme="majorBidi"/>
                <w:sz w:val="28"/>
                <w:szCs w:val="28"/>
                <w:lang w:bidi="ar-EG"/>
              </w:rPr>
              <w:t xml:space="preserve">Tables of </w:t>
            </w:r>
            <w:r w:rsidR="00610F79" w:rsidRPr="00610F79">
              <w:rPr>
                <w:rFonts w:asciiTheme="majorBidi" w:hAnsiTheme="majorBidi" w:cstheme="majorBidi"/>
                <w:sz w:val="28"/>
                <w:szCs w:val="28"/>
                <w:lang w:bidi="ar-EG"/>
              </w:rPr>
              <w:t>review</w:t>
            </w:r>
          </w:p>
        </w:tc>
        <w:tc>
          <w:tcPr>
            <w:tcW w:w="477" w:type="pct"/>
            <w:vAlign w:val="center"/>
          </w:tcPr>
          <w:p w:rsidR="0092311A" w:rsidRPr="00610F79" w:rsidRDefault="0092311A" w:rsidP="004371C0">
            <w:pPr>
              <w:bidi w:val="0"/>
              <w:spacing w:before="100" w:after="10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sidRPr="00610F79">
              <w:rPr>
                <w:rFonts w:asciiTheme="majorBidi" w:hAnsiTheme="majorBidi" w:cstheme="majorBidi"/>
                <w:sz w:val="28"/>
                <w:szCs w:val="28"/>
                <w:lang w:bidi="ar-EG"/>
              </w:rPr>
              <w:t>Page</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sz w:val="28"/>
                <w:szCs w:val="28"/>
                <w:lang w:bidi="ar-EG"/>
              </w:rPr>
            </w:pPr>
            <w:r w:rsidRPr="00F61D74">
              <w:rPr>
                <w:rFonts w:asciiTheme="majorBidi" w:hAnsiTheme="majorBidi" w:cstheme="majorBidi"/>
                <w:i/>
                <w:sz w:val="28"/>
                <w:szCs w:val="28"/>
                <w:lang w:bidi="ar-EG"/>
              </w:rPr>
              <w:t>(1)</w:t>
            </w:r>
          </w:p>
        </w:tc>
        <w:tc>
          <w:tcPr>
            <w:tcW w:w="3805" w:type="pct"/>
          </w:tcPr>
          <w:p w:rsidR="00610F79" w:rsidRPr="00F61D74" w:rsidRDefault="00610F79" w:rsidP="00610F79">
            <w:pPr>
              <w:bidi w:val="0"/>
              <w:spacing w:before="100" w:after="10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sidRPr="00494D22">
              <w:rPr>
                <w:rFonts w:asciiTheme="majorBidi" w:hAnsiTheme="majorBidi" w:cstheme="majorBidi"/>
                <w:bCs/>
                <w:sz w:val="28"/>
                <w:szCs w:val="28"/>
                <w:lang w:bidi="ar-EG"/>
              </w:rPr>
              <w:t xml:space="preserve">Medications and toxins potentially fatal to toddler in one or two doses </w:t>
            </w:r>
          </w:p>
        </w:tc>
        <w:tc>
          <w:tcPr>
            <w:tcW w:w="477" w:type="pct"/>
            <w:vAlign w:val="center"/>
          </w:tcPr>
          <w:p w:rsidR="00610F79" w:rsidRPr="00F61D74" w:rsidRDefault="00610F79"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10</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sz w:val="28"/>
                <w:szCs w:val="28"/>
                <w:lang w:bidi="ar-EG"/>
              </w:rPr>
            </w:pPr>
            <w:r w:rsidRPr="00F61D74">
              <w:rPr>
                <w:rFonts w:asciiTheme="majorBidi" w:hAnsiTheme="majorBidi" w:cstheme="majorBidi"/>
                <w:i/>
                <w:sz w:val="28"/>
                <w:szCs w:val="28"/>
                <w:lang w:bidi="ar-EG"/>
              </w:rPr>
              <w:t>(2)</w:t>
            </w:r>
          </w:p>
        </w:tc>
        <w:tc>
          <w:tcPr>
            <w:tcW w:w="3805" w:type="pct"/>
          </w:tcPr>
          <w:p w:rsidR="00610F79" w:rsidRPr="00F61D74" w:rsidRDefault="00610F79" w:rsidP="00610F79">
            <w:pPr>
              <w:bidi w:val="0"/>
              <w:spacing w:before="100" w:after="10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sidRPr="00494D22">
              <w:rPr>
                <w:rFonts w:asciiTheme="majorBidi" w:hAnsiTheme="majorBidi" w:cstheme="majorBidi"/>
                <w:bCs/>
                <w:sz w:val="28"/>
                <w:szCs w:val="28"/>
                <w:lang w:bidi="ar-EG"/>
              </w:rPr>
              <w:t>Instructions for Prevention of Poisoning in Different Quarters of the Household</w:t>
            </w:r>
          </w:p>
        </w:tc>
        <w:tc>
          <w:tcPr>
            <w:tcW w:w="477" w:type="pct"/>
            <w:vAlign w:val="center"/>
          </w:tcPr>
          <w:p w:rsidR="00610F79" w:rsidRPr="00F61D74" w:rsidRDefault="00610F79"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17</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sz w:val="28"/>
                <w:szCs w:val="28"/>
                <w:lang w:bidi="ar-EG"/>
              </w:rPr>
            </w:pPr>
            <w:r w:rsidRPr="00F61D74">
              <w:rPr>
                <w:rFonts w:asciiTheme="majorBidi" w:hAnsiTheme="majorBidi" w:cstheme="majorBidi"/>
                <w:i/>
                <w:sz w:val="28"/>
                <w:szCs w:val="28"/>
                <w:lang w:bidi="ar-EG"/>
              </w:rPr>
              <w:t>(3)</w:t>
            </w:r>
          </w:p>
        </w:tc>
        <w:tc>
          <w:tcPr>
            <w:tcW w:w="3805" w:type="pct"/>
          </w:tcPr>
          <w:p w:rsidR="00610F79" w:rsidRPr="00F61D74" w:rsidRDefault="00610F79" w:rsidP="00610F79">
            <w:pPr>
              <w:bidi w:val="0"/>
              <w:spacing w:before="100" w:after="10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sidRPr="00494D22">
              <w:rPr>
                <w:rFonts w:asciiTheme="majorBidi" w:hAnsiTheme="majorBidi" w:cstheme="majorBidi"/>
                <w:bCs/>
                <w:sz w:val="28"/>
                <w:szCs w:val="28"/>
                <w:lang w:bidi="ar-EG"/>
              </w:rPr>
              <w:t xml:space="preserve">Antidotes for Common Toxins </w:t>
            </w:r>
          </w:p>
        </w:tc>
        <w:tc>
          <w:tcPr>
            <w:tcW w:w="477" w:type="pct"/>
            <w:vAlign w:val="center"/>
          </w:tcPr>
          <w:p w:rsidR="00610F79" w:rsidRPr="00F61D74" w:rsidRDefault="00610F79"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24</w:t>
            </w:r>
          </w:p>
        </w:tc>
      </w:tr>
      <w:tr w:rsidR="00610F79" w:rsidRPr="00610F79"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shd w:val="clear" w:color="auto" w:fill="4472C4" w:themeFill="accent1"/>
            <w:vAlign w:val="center"/>
          </w:tcPr>
          <w:p w:rsidR="00610F79" w:rsidRPr="00610F79" w:rsidRDefault="00610F79" w:rsidP="004371C0">
            <w:pPr>
              <w:bidi w:val="0"/>
              <w:spacing w:before="100" w:after="100"/>
              <w:jc w:val="center"/>
              <w:rPr>
                <w:rFonts w:asciiTheme="majorBidi" w:hAnsiTheme="majorBidi" w:cstheme="majorBidi"/>
                <w:color w:val="FFFFFF" w:themeColor="background1"/>
                <w:sz w:val="28"/>
                <w:szCs w:val="28"/>
                <w:lang w:bidi="ar-EG"/>
              </w:rPr>
            </w:pPr>
            <w:r w:rsidRPr="00610F79">
              <w:rPr>
                <w:rFonts w:asciiTheme="majorBidi" w:hAnsiTheme="majorBidi" w:cstheme="majorBidi"/>
                <w:color w:val="FFFFFF" w:themeColor="background1"/>
                <w:sz w:val="28"/>
                <w:szCs w:val="28"/>
                <w:lang w:bidi="ar-EG"/>
              </w:rPr>
              <w:t>Table NO.</w:t>
            </w:r>
          </w:p>
        </w:tc>
        <w:tc>
          <w:tcPr>
            <w:tcW w:w="3805" w:type="pct"/>
            <w:shd w:val="clear" w:color="auto" w:fill="4472C4" w:themeFill="accent1"/>
            <w:vAlign w:val="center"/>
          </w:tcPr>
          <w:p w:rsidR="00610F79" w:rsidRPr="00610F79" w:rsidRDefault="00610F79" w:rsidP="004371C0">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lang w:bidi="ar-EG"/>
              </w:rPr>
            </w:pPr>
            <w:r w:rsidRPr="00610F79">
              <w:rPr>
                <w:rFonts w:asciiTheme="majorBidi" w:hAnsiTheme="majorBidi" w:cstheme="majorBidi"/>
                <w:b/>
                <w:bCs/>
                <w:color w:val="FFFFFF" w:themeColor="background1"/>
                <w:sz w:val="28"/>
                <w:szCs w:val="28"/>
                <w:lang w:bidi="ar-EG"/>
              </w:rPr>
              <w:t>Tables of results</w:t>
            </w:r>
          </w:p>
        </w:tc>
        <w:tc>
          <w:tcPr>
            <w:tcW w:w="477" w:type="pct"/>
            <w:shd w:val="clear" w:color="auto" w:fill="4472C4" w:themeFill="accent1"/>
            <w:vAlign w:val="center"/>
          </w:tcPr>
          <w:p w:rsidR="00610F79" w:rsidRPr="00610F79" w:rsidRDefault="00610F79" w:rsidP="004371C0">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lang w:bidi="ar-EG"/>
              </w:rPr>
            </w:pPr>
            <w:r w:rsidRPr="00610F79">
              <w:rPr>
                <w:rFonts w:asciiTheme="majorBidi" w:hAnsiTheme="majorBidi" w:cstheme="majorBidi"/>
                <w:b/>
                <w:bCs/>
                <w:color w:val="FFFFFF" w:themeColor="background1"/>
                <w:sz w:val="28"/>
                <w:szCs w:val="28"/>
                <w:lang w:bidi="ar-EG"/>
              </w:rPr>
              <w:t>Page</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sz w:val="28"/>
                <w:szCs w:val="28"/>
                <w:lang w:bidi="ar-EG"/>
              </w:rPr>
            </w:pPr>
            <w:r w:rsidRPr="00F61D74">
              <w:rPr>
                <w:rFonts w:asciiTheme="majorBidi" w:hAnsiTheme="majorBidi" w:cstheme="majorBidi"/>
                <w:i/>
                <w:sz w:val="28"/>
                <w:szCs w:val="28"/>
                <w:lang w:bidi="ar-EG"/>
              </w:rPr>
              <w:t>(1)</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Demographic data of included subjects</w:t>
            </w:r>
          </w:p>
        </w:tc>
        <w:tc>
          <w:tcPr>
            <w:tcW w:w="477" w:type="pct"/>
            <w:vAlign w:val="center"/>
          </w:tcPr>
          <w:p w:rsidR="00610F79" w:rsidRPr="00F61D74" w:rsidRDefault="00610F79"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38</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sz w:val="28"/>
                <w:szCs w:val="28"/>
                <w:lang w:bidi="ar-EG"/>
              </w:rPr>
            </w:pPr>
            <w:r w:rsidRPr="00F61D74">
              <w:rPr>
                <w:rFonts w:asciiTheme="majorBidi" w:hAnsiTheme="majorBidi" w:cstheme="majorBidi"/>
                <w:i/>
                <w:sz w:val="28"/>
                <w:szCs w:val="28"/>
                <w:lang w:bidi="ar-EG"/>
              </w:rPr>
              <w:t>(2)</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Delay among included subjects</w:t>
            </w:r>
          </w:p>
        </w:tc>
        <w:tc>
          <w:tcPr>
            <w:tcW w:w="477" w:type="pct"/>
            <w:vAlign w:val="center"/>
          </w:tcPr>
          <w:p w:rsidR="00610F79" w:rsidRPr="00F61D74" w:rsidRDefault="00610F79"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40</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sz w:val="28"/>
                <w:szCs w:val="28"/>
                <w:lang w:bidi="ar-EG"/>
              </w:rPr>
            </w:pPr>
            <w:r w:rsidRPr="00F61D74">
              <w:rPr>
                <w:rFonts w:asciiTheme="majorBidi" w:hAnsiTheme="majorBidi" w:cstheme="majorBidi"/>
                <w:i/>
                <w:sz w:val="28"/>
                <w:szCs w:val="28"/>
                <w:lang w:bidi="ar-EG"/>
              </w:rPr>
              <w:t>(3)</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Type of poison and dose among included subjects</w:t>
            </w:r>
          </w:p>
        </w:tc>
        <w:tc>
          <w:tcPr>
            <w:tcW w:w="477" w:type="pct"/>
            <w:vAlign w:val="center"/>
          </w:tcPr>
          <w:p w:rsidR="00610F79" w:rsidRPr="00F61D74" w:rsidRDefault="00610F79"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41</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sz w:val="28"/>
                <w:szCs w:val="28"/>
                <w:lang w:bidi="ar-EG"/>
              </w:rPr>
            </w:pPr>
            <w:r w:rsidRPr="00F61D74">
              <w:rPr>
                <w:rFonts w:asciiTheme="majorBidi" w:hAnsiTheme="majorBidi" w:cstheme="majorBidi"/>
                <w:i/>
                <w:sz w:val="28"/>
                <w:szCs w:val="28"/>
                <w:lang w:bidi="ar-EG"/>
              </w:rPr>
              <w:t>(4)</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Vital signs among included subjects</w:t>
            </w:r>
          </w:p>
        </w:tc>
        <w:tc>
          <w:tcPr>
            <w:tcW w:w="477" w:type="pct"/>
            <w:vAlign w:val="center"/>
          </w:tcPr>
          <w:p w:rsidR="00610F79" w:rsidRPr="00F61D74" w:rsidRDefault="00610F79"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4</w:t>
            </w:r>
            <w:r w:rsidR="00BC2B68">
              <w:rPr>
                <w:rFonts w:asciiTheme="majorBidi" w:hAnsiTheme="majorBidi" w:cstheme="majorBidi"/>
                <w:sz w:val="28"/>
                <w:szCs w:val="28"/>
                <w:lang w:bidi="ar-EG"/>
              </w:rPr>
              <w:t>3</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sz w:val="28"/>
                <w:szCs w:val="28"/>
                <w:lang w:bidi="ar-EG"/>
              </w:rPr>
            </w:pPr>
            <w:r w:rsidRPr="00F61D74">
              <w:rPr>
                <w:rFonts w:asciiTheme="majorBidi" w:hAnsiTheme="majorBidi" w:cstheme="majorBidi"/>
                <w:i/>
                <w:sz w:val="28"/>
                <w:szCs w:val="28"/>
                <w:lang w:bidi="ar-EG"/>
              </w:rPr>
              <w:t>(5)</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Presentation among included subjects</w:t>
            </w:r>
          </w:p>
        </w:tc>
        <w:tc>
          <w:tcPr>
            <w:tcW w:w="477" w:type="pct"/>
            <w:vAlign w:val="center"/>
          </w:tcPr>
          <w:p w:rsidR="00610F79" w:rsidRPr="00F61D74" w:rsidRDefault="00610F79"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4</w:t>
            </w:r>
            <w:r w:rsidR="00BC2B68">
              <w:rPr>
                <w:rFonts w:asciiTheme="majorBidi" w:hAnsiTheme="majorBidi" w:cstheme="majorBidi"/>
                <w:sz w:val="28"/>
                <w:szCs w:val="28"/>
                <w:lang w:bidi="ar-EG"/>
              </w:rPr>
              <w:t>4</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sz w:val="28"/>
                <w:szCs w:val="28"/>
                <w:lang w:bidi="ar-EG"/>
              </w:rPr>
            </w:pPr>
            <w:r w:rsidRPr="00F61D74">
              <w:rPr>
                <w:rFonts w:asciiTheme="majorBidi" w:hAnsiTheme="majorBidi" w:cstheme="majorBidi"/>
                <w:i/>
                <w:sz w:val="28"/>
                <w:szCs w:val="28"/>
                <w:lang w:bidi="ar-EG"/>
              </w:rPr>
              <w:t>(6)</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Management done for subjects</w:t>
            </w:r>
          </w:p>
        </w:tc>
        <w:tc>
          <w:tcPr>
            <w:tcW w:w="477" w:type="pct"/>
            <w:vAlign w:val="center"/>
          </w:tcPr>
          <w:p w:rsidR="00610F79" w:rsidRPr="00F61D74" w:rsidRDefault="00610F79"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45</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sz w:val="28"/>
                <w:szCs w:val="28"/>
                <w:lang w:bidi="ar-EG"/>
              </w:rPr>
            </w:pPr>
            <w:r w:rsidRPr="00F61D74">
              <w:rPr>
                <w:rFonts w:asciiTheme="majorBidi" w:hAnsiTheme="majorBidi" w:cstheme="majorBidi"/>
                <w:i/>
                <w:sz w:val="28"/>
                <w:szCs w:val="28"/>
                <w:lang w:bidi="ar-EG"/>
              </w:rPr>
              <w:t>(7)</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CBC among included subjects</w:t>
            </w:r>
          </w:p>
        </w:tc>
        <w:tc>
          <w:tcPr>
            <w:tcW w:w="477" w:type="pct"/>
            <w:vAlign w:val="center"/>
          </w:tcPr>
          <w:p w:rsidR="00610F79" w:rsidRPr="00F61D74"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47</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i/>
                <w:sz w:val="28"/>
                <w:szCs w:val="28"/>
                <w:lang w:bidi="ar-EG"/>
              </w:rPr>
            </w:pPr>
            <w:r>
              <w:rPr>
                <w:rFonts w:asciiTheme="majorBidi" w:hAnsiTheme="majorBidi" w:cstheme="majorBidi"/>
                <w:i/>
                <w:sz w:val="28"/>
                <w:szCs w:val="28"/>
              </w:rPr>
              <w:t>(8)</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ABG among included subjects</w:t>
            </w:r>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48</w:t>
            </w:r>
          </w:p>
        </w:tc>
      </w:tr>
      <w:tr w:rsidR="00610F79" w:rsidRPr="00F61D74" w:rsidTr="00610F79">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i/>
                <w:sz w:val="28"/>
                <w:szCs w:val="28"/>
                <w:lang w:bidi="ar-EG"/>
              </w:rPr>
            </w:pPr>
            <w:r>
              <w:rPr>
                <w:rFonts w:asciiTheme="majorBidi" w:hAnsiTheme="majorBidi" w:cstheme="majorBidi"/>
                <w:i/>
                <w:sz w:val="28"/>
                <w:szCs w:val="28"/>
              </w:rPr>
              <w:t>(9)</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 xml:space="preserve">Kidney and liver function among included </w:t>
            </w:r>
            <w:proofErr w:type="spellStart"/>
            <w:r w:rsidRPr="00D51C38">
              <w:rPr>
                <w:rFonts w:asciiTheme="majorBidi" w:hAnsiTheme="majorBidi" w:cstheme="majorBidi"/>
                <w:sz w:val="28"/>
                <w:szCs w:val="28"/>
              </w:rPr>
              <w:t>subejcst</w:t>
            </w:r>
            <w:proofErr w:type="spellEnd"/>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49</w:t>
            </w:r>
          </w:p>
        </w:tc>
      </w:tr>
      <w:tr w:rsidR="00610F79"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8" w:type="pct"/>
          </w:tcPr>
          <w:p w:rsidR="00610F79" w:rsidRPr="00F61D74" w:rsidRDefault="00610F79" w:rsidP="00610F79">
            <w:pPr>
              <w:bidi w:val="0"/>
              <w:spacing w:before="100" w:after="100"/>
              <w:jc w:val="center"/>
              <w:rPr>
                <w:rFonts w:asciiTheme="majorBidi" w:hAnsiTheme="majorBidi" w:cstheme="majorBidi"/>
                <w:i/>
                <w:sz w:val="28"/>
                <w:szCs w:val="28"/>
                <w:lang w:bidi="ar-EG"/>
              </w:rPr>
            </w:pPr>
            <w:r w:rsidRPr="002200AE">
              <w:rPr>
                <w:rFonts w:asciiTheme="majorBidi" w:hAnsiTheme="majorBidi" w:cstheme="majorBidi"/>
                <w:i/>
                <w:sz w:val="28"/>
                <w:szCs w:val="28"/>
              </w:rPr>
              <w:t>(</w:t>
            </w:r>
            <w:r>
              <w:rPr>
                <w:rFonts w:asciiTheme="majorBidi" w:hAnsiTheme="majorBidi" w:cstheme="majorBidi" w:hint="cs"/>
                <w:i/>
                <w:sz w:val="28"/>
                <w:szCs w:val="28"/>
                <w:rtl/>
              </w:rPr>
              <w:t>10</w:t>
            </w:r>
            <w:r w:rsidRPr="002200AE">
              <w:rPr>
                <w:rFonts w:asciiTheme="majorBidi" w:hAnsiTheme="majorBidi" w:cstheme="majorBidi"/>
                <w:i/>
                <w:sz w:val="28"/>
                <w:szCs w:val="28"/>
              </w:rPr>
              <w:t>)</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Electrolyte measurements among included subjects</w:t>
            </w:r>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51</w:t>
            </w:r>
          </w:p>
        </w:tc>
      </w:tr>
      <w:tr w:rsidR="00610F79"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8" w:type="pct"/>
          </w:tcPr>
          <w:p w:rsidR="00610F79" w:rsidRPr="00F61D74" w:rsidRDefault="00610F79" w:rsidP="00610F79">
            <w:pPr>
              <w:bidi w:val="0"/>
              <w:spacing w:before="100" w:after="100"/>
              <w:jc w:val="center"/>
              <w:rPr>
                <w:rFonts w:asciiTheme="majorBidi" w:hAnsiTheme="majorBidi" w:cstheme="majorBidi"/>
                <w:i/>
                <w:sz w:val="28"/>
                <w:szCs w:val="28"/>
                <w:lang w:bidi="ar-EG"/>
              </w:rPr>
            </w:pPr>
            <w:r w:rsidRPr="002200AE">
              <w:rPr>
                <w:rFonts w:asciiTheme="majorBidi" w:hAnsiTheme="majorBidi" w:cstheme="majorBidi"/>
                <w:i/>
                <w:sz w:val="28"/>
                <w:szCs w:val="28"/>
              </w:rPr>
              <w:t>(</w:t>
            </w:r>
            <w:r>
              <w:rPr>
                <w:rFonts w:asciiTheme="majorBidi" w:hAnsiTheme="majorBidi" w:cstheme="majorBidi" w:hint="cs"/>
                <w:i/>
                <w:sz w:val="28"/>
                <w:szCs w:val="28"/>
                <w:rtl/>
              </w:rPr>
              <w:t>11</w:t>
            </w:r>
            <w:r w:rsidRPr="002200AE">
              <w:rPr>
                <w:rFonts w:asciiTheme="majorBidi" w:hAnsiTheme="majorBidi" w:cstheme="majorBidi"/>
                <w:i/>
                <w:sz w:val="28"/>
                <w:szCs w:val="28"/>
              </w:rPr>
              <w:t>)</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Fate and Outcome data among included subjects</w:t>
            </w:r>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51</w:t>
            </w:r>
          </w:p>
        </w:tc>
      </w:tr>
      <w:tr w:rsidR="00610F79"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8" w:type="pct"/>
          </w:tcPr>
          <w:p w:rsidR="00610F79" w:rsidRPr="00F61D74" w:rsidRDefault="00610F79" w:rsidP="00610F79">
            <w:pPr>
              <w:bidi w:val="0"/>
              <w:spacing w:before="100" w:after="100"/>
              <w:jc w:val="center"/>
              <w:rPr>
                <w:rFonts w:asciiTheme="majorBidi" w:hAnsiTheme="majorBidi" w:cstheme="majorBidi"/>
                <w:i/>
                <w:sz w:val="28"/>
                <w:szCs w:val="28"/>
                <w:lang w:bidi="ar-EG"/>
              </w:rPr>
            </w:pPr>
            <w:r w:rsidRPr="002200AE">
              <w:rPr>
                <w:rFonts w:asciiTheme="majorBidi" w:hAnsiTheme="majorBidi" w:cstheme="majorBidi"/>
                <w:i/>
                <w:sz w:val="28"/>
                <w:szCs w:val="28"/>
              </w:rPr>
              <w:t>(</w:t>
            </w:r>
            <w:r>
              <w:rPr>
                <w:rFonts w:asciiTheme="majorBidi" w:hAnsiTheme="majorBidi" w:cstheme="majorBidi" w:hint="cs"/>
                <w:i/>
                <w:sz w:val="28"/>
                <w:szCs w:val="28"/>
                <w:rtl/>
              </w:rPr>
              <w:t>12</w:t>
            </w:r>
            <w:r w:rsidRPr="002200AE">
              <w:rPr>
                <w:rFonts w:asciiTheme="majorBidi" w:hAnsiTheme="majorBidi" w:cstheme="majorBidi"/>
                <w:i/>
                <w:sz w:val="28"/>
                <w:szCs w:val="28"/>
              </w:rPr>
              <w:t>)</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Correlation between different poison types with patients' data and age</w:t>
            </w:r>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52</w:t>
            </w:r>
          </w:p>
        </w:tc>
      </w:tr>
      <w:tr w:rsidR="00610F79"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8" w:type="pct"/>
          </w:tcPr>
          <w:p w:rsidR="00610F79" w:rsidRPr="00F61D74" w:rsidRDefault="00610F79" w:rsidP="00610F79">
            <w:pPr>
              <w:bidi w:val="0"/>
              <w:spacing w:before="100" w:after="100"/>
              <w:jc w:val="center"/>
              <w:rPr>
                <w:rFonts w:asciiTheme="majorBidi" w:hAnsiTheme="majorBidi" w:cstheme="majorBidi"/>
                <w:i/>
                <w:sz w:val="28"/>
                <w:szCs w:val="28"/>
                <w:lang w:bidi="ar-EG"/>
              </w:rPr>
            </w:pPr>
            <w:r w:rsidRPr="002200AE">
              <w:rPr>
                <w:rFonts w:asciiTheme="majorBidi" w:hAnsiTheme="majorBidi" w:cstheme="majorBidi"/>
                <w:i/>
                <w:sz w:val="28"/>
                <w:szCs w:val="28"/>
              </w:rPr>
              <w:t>(</w:t>
            </w:r>
            <w:r>
              <w:rPr>
                <w:rFonts w:asciiTheme="majorBidi" w:hAnsiTheme="majorBidi" w:cstheme="majorBidi" w:hint="cs"/>
                <w:i/>
                <w:sz w:val="28"/>
                <w:szCs w:val="28"/>
                <w:rtl/>
              </w:rPr>
              <w:t>13</w:t>
            </w:r>
            <w:r w:rsidRPr="002200AE">
              <w:rPr>
                <w:rFonts w:asciiTheme="majorBidi" w:hAnsiTheme="majorBidi" w:cstheme="majorBidi"/>
                <w:i/>
                <w:sz w:val="28"/>
                <w:szCs w:val="28"/>
              </w:rPr>
              <w:t>)</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Correlation between different poison types with patients' data and sex</w:t>
            </w:r>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53</w:t>
            </w:r>
          </w:p>
        </w:tc>
      </w:tr>
      <w:tr w:rsidR="00610F79"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8" w:type="pct"/>
          </w:tcPr>
          <w:p w:rsidR="00610F79" w:rsidRPr="00F61D74" w:rsidRDefault="00610F79" w:rsidP="00610F79">
            <w:pPr>
              <w:bidi w:val="0"/>
              <w:spacing w:before="100" w:after="100"/>
              <w:jc w:val="center"/>
              <w:rPr>
                <w:rFonts w:asciiTheme="majorBidi" w:hAnsiTheme="majorBidi" w:cstheme="majorBidi"/>
                <w:i/>
                <w:sz w:val="28"/>
                <w:szCs w:val="28"/>
                <w:lang w:bidi="ar-EG"/>
              </w:rPr>
            </w:pPr>
            <w:r w:rsidRPr="002200AE">
              <w:rPr>
                <w:rFonts w:asciiTheme="majorBidi" w:hAnsiTheme="majorBidi" w:cstheme="majorBidi"/>
                <w:i/>
                <w:sz w:val="28"/>
                <w:szCs w:val="28"/>
              </w:rPr>
              <w:lastRenderedPageBreak/>
              <w:t>(</w:t>
            </w:r>
            <w:r>
              <w:rPr>
                <w:rFonts w:asciiTheme="majorBidi" w:hAnsiTheme="majorBidi" w:cstheme="majorBidi" w:hint="cs"/>
                <w:i/>
                <w:sz w:val="28"/>
                <w:szCs w:val="28"/>
                <w:rtl/>
              </w:rPr>
              <w:t>14</w:t>
            </w:r>
            <w:r w:rsidRPr="002200AE">
              <w:rPr>
                <w:rFonts w:asciiTheme="majorBidi" w:hAnsiTheme="majorBidi" w:cstheme="majorBidi"/>
                <w:i/>
                <w:sz w:val="28"/>
                <w:szCs w:val="28"/>
              </w:rPr>
              <w:t>)</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Correlation between different poison types with patients' data and vitals</w:t>
            </w:r>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53</w:t>
            </w:r>
          </w:p>
        </w:tc>
      </w:tr>
      <w:tr w:rsidR="00610F79"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8" w:type="pct"/>
          </w:tcPr>
          <w:p w:rsidR="00610F79" w:rsidRPr="00F61D74" w:rsidRDefault="00610F79" w:rsidP="00610F79">
            <w:pPr>
              <w:bidi w:val="0"/>
              <w:spacing w:before="100" w:after="100"/>
              <w:jc w:val="center"/>
              <w:rPr>
                <w:rFonts w:asciiTheme="majorBidi" w:hAnsiTheme="majorBidi" w:cstheme="majorBidi"/>
                <w:i/>
                <w:sz w:val="28"/>
                <w:szCs w:val="28"/>
                <w:lang w:bidi="ar-EG"/>
              </w:rPr>
            </w:pPr>
            <w:r w:rsidRPr="002200AE">
              <w:rPr>
                <w:rFonts w:asciiTheme="majorBidi" w:hAnsiTheme="majorBidi" w:cstheme="majorBidi"/>
                <w:i/>
                <w:sz w:val="28"/>
                <w:szCs w:val="28"/>
              </w:rPr>
              <w:t>(</w:t>
            </w:r>
            <w:r>
              <w:rPr>
                <w:rFonts w:asciiTheme="majorBidi" w:hAnsiTheme="majorBidi" w:cstheme="majorBidi" w:hint="cs"/>
                <w:i/>
                <w:sz w:val="28"/>
                <w:szCs w:val="28"/>
                <w:rtl/>
              </w:rPr>
              <w:t>15</w:t>
            </w:r>
            <w:r w:rsidRPr="002200AE">
              <w:rPr>
                <w:rFonts w:asciiTheme="majorBidi" w:hAnsiTheme="majorBidi" w:cstheme="majorBidi"/>
                <w:i/>
                <w:sz w:val="28"/>
                <w:szCs w:val="28"/>
              </w:rPr>
              <w:t>)</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correlation between outcomes</w:t>
            </w:r>
            <w:r w:rsidRPr="00D51C38">
              <w:rPr>
                <w:rFonts w:asciiTheme="majorBidi" w:eastAsia="Times New Roman" w:hAnsiTheme="majorBidi" w:cstheme="majorBidi"/>
                <w:sz w:val="28"/>
                <w:szCs w:val="28"/>
              </w:rPr>
              <w:t xml:space="preserve"> with Age</w:t>
            </w:r>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54</w:t>
            </w:r>
          </w:p>
        </w:tc>
      </w:tr>
      <w:tr w:rsidR="00610F79"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8" w:type="pct"/>
          </w:tcPr>
          <w:p w:rsidR="00610F79" w:rsidRPr="00F61D74" w:rsidRDefault="00610F79" w:rsidP="00610F79">
            <w:pPr>
              <w:bidi w:val="0"/>
              <w:spacing w:before="100" w:after="100"/>
              <w:jc w:val="center"/>
              <w:rPr>
                <w:rFonts w:asciiTheme="majorBidi" w:hAnsiTheme="majorBidi" w:cstheme="majorBidi"/>
                <w:i/>
                <w:sz w:val="28"/>
                <w:szCs w:val="28"/>
                <w:lang w:bidi="ar-EG"/>
              </w:rPr>
            </w:pPr>
            <w:r w:rsidRPr="002200AE">
              <w:rPr>
                <w:rFonts w:asciiTheme="majorBidi" w:hAnsiTheme="majorBidi" w:cstheme="majorBidi"/>
                <w:i/>
                <w:sz w:val="28"/>
                <w:szCs w:val="28"/>
              </w:rPr>
              <w:t>(</w:t>
            </w:r>
            <w:r>
              <w:rPr>
                <w:rFonts w:asciiTheme="majorBidi" w:hAnsiTheme="majorBidi" w:cstheme="majorBidi" w:hint="cs"/>
                <w:i/>
                <w:sz w:val="28"/>
                <w:szCs w:val="28"/>
                <w:rtl/>
              </w:rPr>
              <w:t>16</w:t>
            </w:r>
            <w:r w:rsidRPr="002200AE">
              <w:rPr>
                <w:rFonts w:asciiTheme="majorBidi" w:hAnsiTheme="majorBidi" w:cstheme="majorBidi"/>
                <w:i/>
                <w:sz w:val="28"/>
                <w:szCs w:val="28"/>
              </w:rPr>
              <w:t>)</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correlation between outcomes</w:t>
            </w:r>
            <w:r w:rsidRPr="00D51C38">
              <w:rPr>
                <w:rFonts w:asciiTheme="majorBidi" w:eastAsia="Times New Roman" w:hAnsiTheme="majorBidi" w:cstheme="majorBidi"/>
                <w:sz w:val="28"/>
                <w:szCs w:val="28"/>
              </w:rPr>
              <w:t xml:space="preserve"> with sex</w:t>
            </w:r>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54</w:t>
            </w:r>
          </w:p>
        </w:tc>
      </w:tr>
      <w:tr w:rsidR="00610F79"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8" w:type="pct"/>
          </w:tcPr>
          <w:p w:rsidR="00610F79" w:rsidRPr="00F61D74" w:rsidRDefault="00610F79" w:rsidP="00610F79">
            <w:pPr>
              <w:bidi w:val="0"/>
              <w:spacing w:before="100" w:after="100"/>
              <w:jc w:val="center"/>
              <w:rPr>
                <w:rFonts w:asciiTheme="majorBidi" w:hAnsiTheme="majorBidi" w:cstheme="majorBidi"/>
                <w:i/>
                <w:sz w:val="28"/>
                <w:szCs w:val="28"/>
                <w:lang w:bidi="ar-EG"/>
              </w:rPr>
            </w:pPr>
            <w:r w:rsidRPr="002200AE">
              <w:rPr>
                <w:rFonts w:asciiTheme="majorBidi" w:hAnsiTheme="majorBidi" w:cstheme="majorBidi"/>
                <w:i/>
                <w:sz w:val="28"/>
                <w:szCs w:val="28"/>
              </w:rPr>
              <w:t>(</w:t>
            </w:r>
            <w:r>
              <w:rPr>
                <w:rFonts w:asciiTheme="majorBidi" w:hAnsiTheme="majorBidi" w:cstheme="majorBidi" w:hint="cs"/>
                <w:i/>
                <w:sz w:val="28"/>
                <w:szCs w:val="28"/>
                <w:rtl/>
              </w:rPr>
              <w:t>17</w:t>
            </w:r>
            <w:r w:rsidRPr="002200AE">
              <w:rPr>
                <w:rFonts w:asciiTheme="majorBidi" w:hAnsiTheme="majorBidi" w:cstheme="majorBidi"/>
                <w:i/>
                <w:sz w:val="28"/>
                <w:szCs w:val="28"/>
              </w:rPr>
              <w:t>)</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correlation between outcomes</w:t>
            </w:r>
            <w:r w:rsidRPr="00D51C38">
              <w:rPr>
                <w:rFonts w:asciiTheme="majorBidi" w:eastAsia="Times New Roman" w:hAnsiTheme="majorBidi" w:cstheme="majorBidi"/>
                <w:sz w:val="28"/>
                <w:szCs w:val="28"/>
              </w:rPr>
              <w:t xml:space="preserve"> with vitals</w:t>
            </w:r>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55</w:t>
            </w:r>
          </w:p>
        </w:tc>
      </w:tr>
      <w:tr w:rsidR="00610F79"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8" w:type="pct"/>
          </w:tcPr>
          <w:p w:rsidR="00610F79" w:rsidRPr="00F61D74" w:rsidRDefault="00610F79" w:rsidP="00610F79">
            <w:pPr>
              <w:bidi w:val="0"/>
              <w:spacing w:before="100" w:after="100"/>
              <w:jc w:val="center"/>
              <w:rPr>
                <w:rFonts w:asciiTheme="majorBidi" w:hAnsiTheme="majorBidi" w:cstheme="majorBidi"/>
                <w:i/>
                <w:sz w:val="28"/>
                <w:szCs w:val="28"/>
                <w:lang w:bidi="ar-EG"/>
              </w:rPr>
            </w:pPr>
            <w:r w:rsidRPr="002200AE">
              <w:rPr>
                <w:rFonts w:asciiTheme="majorBidi" w:hAnsiTheme="majorBidi" w:cstheme="majorBidi"/>
                <w:i/>
                <w:sz w:val="28"/>
                <w:szCs w:val="28"/>
              </w:rPr>
              <w:t>(</w:t>
            </w:r>
            <w:r>
              <w:rPr>
                <w:rFonts w:asciiTheme="majorBidi" w:hAnsiTheme="majorBidi" w:cstheme="majorBidi" w:hint="cs"/>
                <w:i/>
                <w:sz w:val="28"/>
                <w:szCs w:val="28"/>
                <w:rtl/>
              </w:rPr>
              <w:t>18</w:t>
            </w:r>
            <w:r w:rsidRPr="002200AE">
              <w:rPr>
                <w:rFonts w:asciiTheme="majorBidi" w:hAnsiTheme="majorBidi" w:cstheme="majorBidi"/>
                <w:i/>
                <w:sz w:val="28"/>
                <w:szCs w:val="28"/>
              </w:rPr>
              <w:t>)</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correlation between outcomes</w:t>
            </w:r>
            <w:r w:rsidRPr="00D51C38">
              <w:rPr>
                <w:rFonts w:asciiTheme="majorBidi" w:eastAsia="Times New Roman" w:hAnsiTheme="majorBidi" w:cstheme="majorBidi"/>
                <w:sz w:val="28"/>
                <w:szCs w:val="28"/>
              </w:rPr>
              <w:t xml:space="preserve"> with kidney and liver function test</w:t>
            </w:r>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55</w:t>
            </w:r>
          </w:p>
        </w:tc>
      </w:tr>
      <w:tr w:rsidR="00610F79"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8" w:type="pct"/>
            <w:vAlign w:val="center"/>
          </w:tcPr>
          <w:p w:rsidR="00610F79" w:rsidRPr="00F61D74" w:rsidRDefault="00610F79" w:rsidP="00610F79">
            <w:pPr>
              <w:bidi w:val="0"/>
              <w:spacing w:before="100" w:after="100"/>
              <w:jc w:val="center"/>
              <w:rPr>
                <w:rFonts w:asciiTheme="majorBidi" w:hAnsiTheme="majorBidi" w:cstheme="majorBidi"/>
                <w:i/>
                <w:sz w:val="28"/>
                <w:szCs w:val="28"/>
                <w:lang w:bidi="ar-EG"/>
              </w:rPr>
            </w:pPr>
            <w:r>
              <w:rPr>
                <w:rFonts w:asciiTheme="majorBidi" w:hAnsiTheme="majorBidi" w:cstheme="majorBidi"/>
                <w:i/>
                <w:sz w:val="28"/>
                <w:szCs w:val="28"/>
              </w:rPr>
              <w:t>(19)</w:t>
            </w:r>
          </w:p>
        </w:tc>
        <w:tc>
          <w:tcPr>
            <w:tcW w:w="3805" w:type="pct"/>
          </w:tcPr>
          <w:p w:rsidR="00610F79" w:rsidRPr="004C6EA4" w:rsidRDefault="00610F79" w:rsidP="00610F79">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D51C38">
              <w:rPr>
                <w:rFonts w:asciiTheme="majorBidi" w:hAnsiTheme="majorBidi" w:cstheme="majorBidi"/>
                <w:sz w:val="28"/>
                <w:szCs w:val="28"/>
              </w:rPr>
              <w:t>correlation between outcomes</w:t>
            </w:r>
            <w:r w:rsidRPr="00D51C38">
              <w:rPr>
                <w:rFonts w:asciiTheme="majorBidi" w:eastAsia="Times New Roman" w:hAnsiTheme="majorBidi" w:cstheme="majorBidi"/>
                <w:sz w:val="28"/>
                <w:szCs w:val="28"/>
              </w:rPr>
              <w:t xml:space="preserve"> with other parameters</w:t>
            </w:r>
          </w:p>
        </w:tc>
        <w:tc>
          <w:tcPr>
            <w:tcW w:w="477" w:type="pct"/>
            <w:vAlign w:val="center"/>
          </w:tcPr>
          <w:p w:rsidR="00610F79" w:rsidRDefault="00BC2B68" w:rsidP="00610F79">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sz w:val="28"/>
                <w:szCs w:val="28"/>
                <w:lang w:bidi="ar-EG"/>
              </w:rPr>
              <w:t>56</w:t>
            </w:r>
          </w:p>
        </w:tc>
      </w:tr>
    </w:tbl>
    <w:p w:rsidR="0092311A" w:rsidRPr="00F61D74" w:rsidRDefault="0092311A" w:rsidP="0092311A">
      <w:pPr>
        <w:widowControl w:val="0"/>
        <w:bidi w:val="0"/>
        <w:spacing w:before="60" w:after="60" w:line="240" w:lineRule="auto"/>
        <w:jc w:val="right"/>
        <w:rPr>
          <w:rFonts w:ascii="Times New Roman" w:eastAsia="Times New Roman" w:hAnsi="Times New Roman" w:cs="Traditional Arabic"/>
          <w:snapToGrid w:val="0"/>
          <w:sz w:val="2"/>
          <w:szCs w:val="20"/>
        </w:rPr>
      </w:pPr>
    </w:p>
    <w:p w:rsidR="0092311A" w:rsidRPr="00F61D74" w:rsidRDefault="0092311A" w:rsidP="0092311A">
      <w:pPr>
        <w:widowControl w:val="0"/>
        <w:bidi w:val="0"/>
        <w:spacing w:before="200" w:line="240" w:lineRule="auto"/>
        <w:jc w:val="center"/>
        <w:rPr>
          <w:rFonts w:ascii="Times New Roman" w:eastAsia="Times New Roman" w:hAnsi="Times New Roman" w:cs="Traditional Arabic"/>
          <w:b/>
          <w:bCs/>
          <w:caps/>
          <w:snapToGrid w:val="0"/>
          <w:sz w:val="28"/>
          <w:szCs w:val="28"/>
        </w:rPr>
      </w:pPr>
    </w:p>
    <w:p w:rsidR="0092311A" w:rsidRDefault="0092311A" w:rsidP="0092311A">
      <w:pPr>
        <w:widowControl w:val="0"/>
        <w:bidi w:val="0"/>
        <w:spacing w:before="200" w:line="240" w:lineRule="auto"/>
        <w:jc w:val="center"/>
        <w:rPr>
          <w:rFonts w:ascii="Times New Roman" w:eastAsia="Times New Roman" w:hAnsi="Times New Roman" w:cs="Traditional Arabic"/>
          <w:b/>
          <w:bCs/>
          <w:caps/>
          <w:snapToGrid w:val="0"/>
          <w:sz w:val="28"/>
          <w:szCs w:val="28"/>
        </w:rPr>
        <w:sectPr w:rsidR="0092311A" w:rsidSect="004371C0">
          <w:footerReference w:type="default" r:id="rId17"/>
          <w:pgSz w:w="11906" w:h="16838" w:code="9"/>
          <w:pgMar w:top="1440" w:right="1800" w:bottom="1440" w:left="1800" w:header="851" w:footer="851" w:gutter="0"/>
          <w:pgNumType w:fmt="upperRoman"/>
          <w:cols w:space="708"/>
          <w:bidi/>
          <w:rtlGutter/>
          <w:docGrid w:linePitch="360"/>
        </w:sectPr>
      </w:pPr>
    </w:p>
    <w:p w:rsidR="0092311A" w:rsidRPr="00F61D74" w:rsidRDefault="0092311A" w:rsidP="0092311A">
      <w:pPr>
        <w:widowControl w:val="0"/>
        <w:bidi w:val="0"/>
        <w:spacing w:before="200" w:line="240" w:lineRule="auto"/>
        <w:jc w:val="center"/>
        <w:rPr>
          <w:rFonts w:ascii="Times New Roman" w:eastAsia="Times New Roman" w:hAnsi="Times New Roman" w:cs="Traditional Arabic"/>
          <w:b/>
          <w:bCs/>
          <w:caps/>
          <w:snapToGrid w:val="0"/>
          <w:sz w:val="28"/>
          <w:szCs w:val="28"/>
        </w:rPr>
      </w:pPr>
      <w:r w:rsidRPr="00F61D74">
        <w:rPr>
          <w:rFonts w:ascii="Times New Roman" w:eastAsia="Times New Roman" w:hAnsi="Times New Roman" w:cs="Traditional Arabic"/>
          <w:b/>
          <w:bCs/>
          <w:caps/>
          <w:snapToGrid w:val="0"/>
          <w:sz w:val="28"/>
          <w:szCs w:val="28"/>
        </w:rPr>
        <w:lastRenderedPageBreak/>
        <w:t>List of FIGURES</w:t>
      </w:r>
    </w:p>
    <w:tbl>
      <w:tblPr>
        <w:tblStyle w:val="GridTable4-Accent11"/>
        <w:tblW w:w="5087" w:type="pct"/>
        <w:tblLook w:val="06A0" w:firstRow="1" w:lastRow="0" w:firstColumn="1" w:lastColumn="0" w:noHBand="1" w:noVBand="1"/>
      </w:tblPr>
      <w:tblGrid>
        <w:gridCol w:w="1347"/>
        <w:gridCol w:w="7197"/>
        <w:gridCol w:w="859"/>
      </w:tblGrid>
      <w:tr w:rsidR="0092311A" w:rsidRPr="00F61D74" w:rsidTr="004371C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6" w:type="pct"/>
            <w:vAlign w:val="center"/>
          </w:tcPr>
          <w:p w:rsidR="0092311A" w:rsidRPr="00F61D74" w:rsidRDefault="0092311A" w:rsidP="004371C0">
            <w:pPr>
              <w:bidi w:val="0"/>
              <w:spacing w:before="100" w:after="100"/>
              <w:jc w:val="center"/>
              <w:rPr>
                <w:rFonts w:asciiTheme="majorBidi" w:hAnsiTheme="majorBidi" w:cstheme="majorBidi"/>
                <w:sz w:val="28"/>
                <w:szCs w:val="28"/>
              </w:rPr>
            </w:pPr>
            <w:r w:rsidRPr="00F61D74">
              <w:rPr>
                <w:rFonts w:asciiTheme="majorBidi" w:hAnsiTheme="majorBidi" w:cstheme="majorBidi"/>
                <w:sz w:val="28"/>
                <w:szCs w:val="28"/>
              </w:rPr>
              <w:t>Figure NO.</w:t>
            </w:r>
          </w:p>
        </w:tc>
        <w:tc>
          <w:tcPr>
            <w:tcW w:w="3827" w:type="pct"/>
            <w:vAlign w:val="center"/>
          </w:tcPr>
          <w:p w:rsidR="0092311A" w:rsidRPr="00F61D74" w:rsidRDefault="0092311A" w:rsidP="004371C0">
            <w:pPr>
              <w:bidi w:val="0"/>
              <w:spacing w:before="100" w:after="10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Review and Methods</w:t>
            </w:r>
          </w:p>
        </w:tc>
        <w:tc>
          <w:tcPr>
            <w:tcW w:w="457" w:type="pct"/>
            <w:vAlign w:val="center"/>
          </w:tcPr>
          <w:p w:rsidR="0092311A" w:rsidRPr="00F61D74" w:rsidRDefault="0092311A" w:rsidP="004371C0">
            <w:pPr>
              <w:bidi w:val="0"/>
              <w:spacing w:before="100" w:after="10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F61D74">
              <w:rPr>
                <w:rFonts w:asciiTheme="majorBidi" w:hAnsiTheme="majorBidi" w:cstheme="majorBidi"/>
                <w:sz w:val="28"/>
                <w:szCs w:val="28"/>
              </w:rPr>
              <w:t>Page</w:t>
            </w:r>
          </w:p>
        </w:tc>
      </w:tr>
      <w:tr w:rsidR="00BC2B68"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6" w:type="pct"/>
            <w:vAlign w:val="center"/>
          </w:tcPr>
          <w:p w:rsidR="00BC2B68" w:rsidRPr="00F61D74" w:rsidRDefault="00BC2B68" w:rsidP="00BC2B68">
            <w:pPr>
              <w:bidi w:val="0"/>
              <w:spacing w:before="100" w:after="100"/>
              <w:jc w:val="center"/>
              <w:rPr>
                <w:rFonts w:asciiTheme="majorBidi" w:hAnsiTheme="majorBidi" w:cstheme="majorBidi"/>
                <w:sz w:val="28"/>
                <w:szCs w:val="28"/>
              </w:rPr>
            </w:pPr>
            <w:r w:rsidRPr="00F61D74">
              <w:rPr>
                <w:rFonts w:asciiTheme="majorBidi" w:hAnsiTheme="majorBidi" w:cstheme="majorBidi"/>
                <w:i/>
                <w:sz w:val="28"/>
                <w:szCs w:val="28"/>
              </w:rPr>
              <w:t>(</w:t>
            </w:r>
            <w:r>
              <w:rPr>
                <w:rFonts w:asciiTheme="majorBidi" w:hAnsiTheme="majorBidi" w:cstheme="majorBidi" w:hint="cs"/>
                <w:i/>
                <w:sz w:val="28"/>
                <w:szCs w:val="28"/>
                <w:rtl/>
              </w:rPr>
              <w:t>1</w:t>
            </w:r>
            <w:r w:rsidRPr="00F61D74">
              <w:rPr>
                <w:rFonts w:asciiTheme="majorBidi" w:hAnsiTheme="majorBidi" w:cstheme="majorBidi"/>
                <w:i/>
                <w:sz w:val="28"/>
                <w:szCs w:val="28"/>
              </w:rPr>
              <w:t>)</w:t>
            </w:r>
          </w:p>
        </w:tc>
        <w:tc>
          <w:tcPr>
            <w:tcW w:w="3827" w:type="pct"/>
          </w:tcPr>
          <w:p w:rsidR="00BC2B68" w:rsidRPr="00BC2B68" w:rsidRDefault="00BC2B68" w:rsidP="00BC2B68">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BC2B68">
              <w:rPr>
                <w:rFonts w:asciiTheme="majorBidi" w:hAnsiTheme="majorBidi" w:cstheme="majorBidi"/>
                <w:color w:val="221F1F"/>
                <w:sz w:val="28"/>
                <w:szCs w:val="28"/>
              </w:rPr>
              <w:t xml:space="preserve">Top 5 Exposure Substance Categories in 2020 </w:t>
            </w:r>
          </w:p>
        </w:tc>
        <w:tc>
          <w:tcPr>
            <w:tcW w:w="457" w:type="pct"/>
            <w:vAlign w:val="center"/>
          </w:tcPr>
          <w:p w:rsidR="00BC2B68" w:rsidRPr="00887C89" w:rsidRDefault="00BC2B68" w:rsidP="00BC2B68">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6</w:t>
            </w:r>
          </w:p>
        </w:tc>
      </w:tr>
      <w:tr w:rsidR="00BC2B68"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6" w:type="pct"/>
            <w:vAlign w:val="center"/>
          </w:tcPr>
          <w:p w:rsidR="00BC2B68" w:rsidRPr="00F61D74" w:rsidRDefault="00BC2B68" w:rsidP="00BC2B68">
            <w:pPr>
              <w:bidi w:val="0"/>
              <w:spacing w:before="100" w:after="100"/>
              <w:jc w:val="center"/>
              <w:rPr>
                <w:rFonts w:asciiTheme="majorBidi" w:hAnsiTheme="majorBidi" w:cstheme="majorBidi"/>
                <w:sz w:val="28"/>
                <w:szCs w:val="28"/>
              </w:rPr>
            </w:pPr>
            <w:r w:rsidRPr="00F61D74">
              <w:rPr>
                <w:rFonts w:asciiTheme="majorBidi" w:hAnsiTheme="majorBidi" w:cstheme="majorBidi"/>
                <w:i/>
                <w:sz w:val="28"/>
                <w:szCs w:val="28"/>
              </w:rPr>
              <w:t>(</w:t>
            </w:r>
            <w:r>
              <w:rPr>
                <w:rFonts w:asciiTheme="majorBidi" w:hAnsiTheme="majorBidi" w:cstheme="majorBidi" w:hint="cs"/>
                <w:i/>
                <w:sz w:val="28"/>
                <w:szCs w:val="28"/>
                <w:rtl/>
              </w:rPr>
              <w:t>2</w:t>
            </w:r>
            <w:r w:rsidRPr="00F61D74">
              <w:rPr>
                <w:rFonts w:asciiTheme="majorBidi" w:hAnsiTheme="majorBidi" w:cstheme="majorBidi"/>
                <w:i/>
                <w:sz w:val="28"/>
                <w:szCs w:val="28"/>
              </w:rPr>
              <w:t>)</w:t>
            </w:r>
          </w:p>
        </w:tc>
        <w:tc>
          <w:tcPr>
            <w:tcW w:w="3827" w:type="pct"/>
          </w:tcPr>
          <w:p w:rsidR="00BC2B68" w:rsidRPr="00BC2B68" w:rsidRDefault="00BC2B68" w:rsidP="00BC2B68">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BC2B68">
              <w:rPr>
                <w:rFonts w:asciiTheme="majorBidi" w:hAnsiTheme="majorBidi" w:cstheme="majorBidi"/>
                <w:color w:val="221F1F"/>
                <w:sz w:val="28"/>
                <w:szCs w:val="28"/>
              </w:rPr>
              <w:t xml:space="preserve">Distribution of Human Exposure to Poisoning in 2020 </w:t>
            </w:r>
          </w:p>
        </w:tc>
        <w:tc>
          <w:tcPr>
            <w:tcW w:w="457" w:type="pct"/>
            <w:vAlign w:val="center"/>
          </w:tcPr>
          <w:p w:rsidR="00BC2B68" w:rsidRPr="00887C89" w:rsidRDefault="00BC2B68" w:rsidP="00BC2B68">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6</w:t>
            </w:r>
          </w:p>
        </w:tc>
      </w:tr>
      <w:tr w:rsidR="00BC2B68"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6" w:type="pct"/>
            <w:vAlign w:val="center"/>
          </w:tcPr>
          <w:p w:rsidR="00BC2B68" w:rsidRPr="00F61D74" w:rsidRDefault="00BC2B68" w:rsidP="00BC2B68">
            <w:pPr>
              <w:bidi w:val="0"/>
              <w:spacing w:before="100" w:after="100"/>
              <w:jc w:val="center"/>
              <w:rPr>
                <w:rFonts w:asciiTheme="majorBidi" w:hAnsiTheme="majorBidi" w:cstheme="majorBidi"/>
                <w:i/>
                <w:sz w:val="28"/>
                <w:szCs w:val="28"/>
              </w:rPr>
            </w:pPr>
            <w:r w:rsidRPr="00F61D74">
              <w:rPr>
                <w:rFonts w:asciiTheme="majorBidi" w:hAnsiTheme="majorBidi" w:cstheme="majorBidi"/>
                <w:i/>
                <w:sz w:val="28"/>
                <w:szCs w:val="28"/>
              </w:rPr>
              <w:t>(</w:t>
            </w:r>
            <w:r>
              <w:rPr>
                <w:rFonts w:asciiTheme="majorBidi" w:hAnsiTheme="majorBidi" w:cstheme="majorBidi" w:hint="cs"/>
                <w:i/>
                <w:sz w:val="28"/>
                <w:szCs w:val="28"/>
                <w:rtl/>
              </w:rPr>
              <w:t>3</w:t>
            </w:r>
            <w:r w:rsidRPr="00F61D74">
              <w:rPr>
                <w:rFonts w:asciiTheme="majorBidi" w:hAnsiTheme="majorBidi" w:cstheme="majorBidi"/>
                <w:i/>
                <w:sz w:val="28"/>
                <w:szCs w:val="28"/>
              </w:rPr>
              <w:t>)</w:t>
            </w:r>
          </w:p>
        </w:tc>
        <w:tc>
          <w:tcPr>
            <w:tcW w:w="3827" w:type="pct"/>
          </w:tcPr>
          <w:p w:rsidR="00BC2B68" w:rsidRPr="00BC2B68" w:rsidRDefault="00BC2B68" w:rsidP="00BC2B68">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sz w:val="28"/>
                <w:szCs w:val="28"/>
                <w:lang w:bidi="ar-EG"/>
              </w:rPr>
            </w:pPr>
            <w:r w:rsidRPr="00BC2B68">
              <w:rPr>
                <w:rFonts w:asciiTheme="majorBidi" w:hAnsiTheme="majorBidi" w:cstheme="majorBidi"/>
                <w:bCs/>
                <w:sz w:val="28"/>
                <w:szCs w:val="28"/>
                <w:lang w:bidi="ar-EG"/>
              </w:rPr>
              <w:t xml:space="preserve">BLS Healthcare Provider Pediatric Cardiac Arrest Algorithm for the Single Rescuer—2015 Update </w:t>
            </w:r>
          </w:p>
        </w:tc>
        <w:tc>
          <w:tcPr>
            <w:tcW w:w="457" w:type="pct"/>
            <w:vAlign w:val="center"/>
          </w:tcPr>
          <w:p w:rsidR="00BC2B68" w:rsidRPr="00887C89" w:rsidRDefault="00BC2B68" w:rsidP="00BC2B68">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22</w:t>
            </w:r>
          </w:p>
        </w:tc>
      </w:tr>
      <w:tr w:rsidR="0092311A"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6" w:type="pct"/>
            <w:shd w:val="clear" w:color="auto" w:fill="4472C4" w:themeFill="accent1"/>
            <w:vAlign w:val="center"/>
          </w:tcPr>
          <w:p w:rsidR="0092311A" w:rsidRPr="00F61D74" w:rsidRDefault="0092311A" w:rsidP="004371C0">
            <w:pPr>
              <w:bidi w:val="0"/>
              <w:spacing w:before="100" w:after="100"/>
              <w:jc w:val="center"/>
              <w:rPr>
                <w:rFonts w:asciiTheme="majorBidi" w:hAnsiTheme="majorBidi" w:cstheme="majorBidi"/>
                <w:color w:val="FFFFFF" w:themeColor="background1"/>
                <w:sz w:val="28"/>
                <w:szCs w:val="28"/>
              </w:rPr>
            </w:pPr>
            <w:r w:rsidRPr="00F61D74">
              <w:rPr>
                <w:rFonts w:asciiTheme="majorBidi" w:hAnsiTheme="majorBidi" w:cstheme="majorBidi"/>
                <w:color w:val="FFFFFF" w:themeColor="background1"/>
                <w:sz w:val="28"/>
                <w:szCs w:val="28"/>
              </w:rPr>
              <w:t>Figure NO.</w:t>
            </w:r>
          </w:p>
        </w:tc>
        <w:tc>
          <w:tcPr>
            <w:tcW w:w="3827" w:type="pct"/>
            <w:shd w:val="clear" w:color="auto" w:fill="4472C4" w:themeFill="accent1"/>
            <w:vAlign w:val="center"/>
          </w:tcPr>
          <w:p w:rsidR="0092311A" w:rsidRPr="00F61D74" w:rsidRDefault="0092311A" w:rsidP="004371C0">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Pr>
            </w:pPr>
            <w:r>
              <w:rPr>
                <w:rFonts w:asciiTheme="majorBidi" w:hAnsiTheme="majorBidi" w:cstheme="majorBidi"/>
                <w:b/>
                <w:bCs/>
                <w:color w:val="FFFFFF" w:themeColor="background1"/>
                <w:sz w:val="28"/>
                <w:szCs w:val="28"/>
              </w:rPr>
              <w:t>Results</w:t>
            </w:r>
          </w:p>
        </w:tc>
        <w:tc>
          <w:tcPr>
            <w:tcW w:w="457" w:type="pct"/>
            <w:shd w:val="clear" w:color="auto" w:fill="4472C4" w:themeFill="accent1"/>
            <w:vAlign w:val="center"/>
          </w:tcPr>
          <w:p w:rsidR="0092311A" w:rsidRPr="00F61D74" w:rsidRDefault="0092311A" w:rsidP="004371C0">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FFFFFF" w:themeColor="background1"/>
                <w:sz w:val="28"/>
                <w:szCs w:val="28"/>
              </w:rPr>
            </w:pPr>
            <w:r w:rsidRPr="00F61D74">
              <w:rPr>
                <w:rFonts w:asciiTheme="majorBidi" w:hAnsiTheme="majorBidi" w:cstheme="majorBidi"/>
                <w:b/>
                <w:bCs/>
                <w:color w:val="FFFFFF" w:themeColor="background1"/>
                <w:sz w:val="28"/>
                <w:szCs w:val="28"/>
              </w:rPr>
              <w:t>Page</w:t>
            </w:r>
          </w:p>
        </w:tc>
      </w:tr>
      <w:tr w:rsidR="00BC2B68"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6" w:type="pct"/>
            <w:vAlign w:val="center"/>
          </w:tcPr>
          <w:p w:rsidR="00BC2B68" w:rsidRPr="00F61D74" w:rsidRDefault="00BC2B68" w:rsidP="00BC2B68">
            <w:pPr>
              <w:bidi w:val="0"/>
              <w:spacing w:before="100" w:after="100"/>
              <w:jc w:val="center"/>
              <w:rPr>
                <w:rFonts w:asciiTheme="majorBidi" w:hAnsiTheme="majorBidi" w:cstheme="majorBidi"/>
                <w:sz w:val="28"/>
                <w:szCs w:val="28"/>
              </w:rPr>
            </w:pPr>
            <w:r w:rsidRPr="00F61D74">
              <w:rPr>
                <w:rFonts w:asciiTheme="majorBidi" w:hAnsiTheme="majorBidi" w:cstheme="majorBidi"/>
                <w:i/>
                <w:sz w:val="28"/>
                <w:szCs w:val="28"/>
              </w:rPr>
              <w:t>(</w:t>
            </w:r>
            <w:r>
              <w:rPr>
                <w:rFonts w:asciiTheme="majorBidi" w:hAnsiTheme="majorBidi" w:cstheme="majorBidi" w:hint="cs"/>
                <w:i/>
                <w:sz w:val="28"/>
                <w:szCs w:val="28"/>
                <w:rtl/>
              </w:rPr>
              <w:t>1</w:t>
            </w:r>
            <w:r w:rsidRPr="00F61D74">
              <w:rPr>
                <w:rFonts w:asciiTheme="majorBidi" w:hAnsiTheme="majorBidi" w:cstheme="majorBidi"/>
                <w:i/>
                <w:sz w:val="28"/>
                <w:szCs w:val="28"/>
              </w:rPr>
              <w:t>)</w:t>
            </w:r>
          </w:p>
        </w:tc>
        <w:tc>
          <w:tcPr>
            <w:tcW w:w="3827" w:type="pct"/>
          </w:tcPr>
          <w:p w:rsidR="00BC2B68" w:rsidRPr="00887C89" w:rsidRDefault="00BC2B68" w:rsidP="00BC2B68">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670E3">
              <w:rPr>
                <w:rFonts w:asciiTheme="majorBidi" w:eastAsia="Times New Roman" w:hAnsiTheme="majorBidi" w:cstheme="majorBidi"/>
                <w:sz w:val="28"/>
                <w:szCs w:val="28"/>
              </w:rPr>
              <w:t>Age category distribution among included subjects</w:t>
            </w:r>
          </w:p>
        </w:tc>
        <w:tc>
          <w:tcPr>
            <w:tcW w:w="457" w:type="pct"/>
            <w:vAlign w:val="center"/>
          </w:tcPr>
          <w:p w:rsidR="00BC2B68" w:rsidRPr="00F61D74" w:rsidRDefault="00BC2B68" w:rsidP="00BC2B68">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Pr>
                <w:rFonts w:asciiTheme="majorBidi" w:hAnsiTheme="majorBidi" w:cstheme="majorBidi"/>
                <w:sz w:val="28"/>
                <w:szCs w:val="28"/>
              </w:rPr>
              <w:t>39</w:t>
            </w:r>
          </w:p>
        </w:tc>
      </w:tr>
      <w:tr w:rsidR="00BC2B68"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6" w:type="pct"/>
            <w:vAlign w:val="center"/>
          </w:tcPr>
          <w:p w:rsidR="00BC2B68" w:rsidRPr="00F61D74" w:rsidRDefault="00BC2B68" w:rsidP="00BC2B68">
            <w:pPr>
              <w:bidi w:val="0"/>
              <w:spacing w:before="100" w:after="100"/>
              <w:jc w:val="center"/>
              <w:rPr>
                <w:rFonts w:asciiTheme="majorBidi" w:hAnsiTheme="majorBidi" w:cstheme="majorBidi"/>
                <w:sz w:val="28"/>
                <w:szCs w:val="28"/>
              </w:rPr>
            </w:pPr>
            <w:r w:rsidRPr="00F61D74">
              <w:rPr>
                <w:rFonts w:asciiTheme="majorBidi" w:hAnsiTheme="majorBidi" w:cstheme="majorBidi"/>
                <w:i/>
                <w:sz w:val="28"/>
                <w:szCs w:val="28"/>
              </w:rPr>
              <w:t>(</w:t>
            </w:r>
            <w:r>
              <w:rPr>
                <w:rFonts w:asciiTheme="majorBidi" w:hAnsiTheme="majorBidi" w:cstheme="majorBidi" w:hint="cs"/>
                <w:i/>
                <w:sz w:val="28"/>
                <w:szCs w:val="28"/>
                <w:rtl/>
              </w:rPr>
              <w:t>2</w:t>
            </w:r>
            <w:r w:rsidRPr="00F61D74">
              <w:rPr>
                <w:rFonts w:asciiTheme="majorBidi" w:hAnsiTheme="majorBidi" w:cstheme="majorBidi"/>
                <w:i/>
                <w:sz w:val="28"/>
                <w:szCs w:val="28"/>
              </w:rPr>
              <w:t>)</w:t>
            </w:r>
          </w:p>
        </w:tc>
        <w:tc>
          <w:tcPr>
            <w:tcW w:w="3827" w:type="pct"/>
          </w:tcPr>
          <w:p w:rsidR="00BC2B68" w:rsidRPr="00887C89" w:rsidRDefault="00BC2B68" w:rsidP="00BC2B68">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670E3">
              <w:rPr>
                <w:rFonts w:asciiTheme="majorBidi" w:eastAsia="Times New Roman" w:hAnsiTheme="majorBidi" w:cstheme="majorBidi"/>
                <w:sz w:val="28"/>
                <w:szCs w:val="28"/>
              </w:rPr>
              <w:t>Sex distribution among included subjects</w:t>
            </w:r>
          </w:p>
        </w:tc>
        <w:tc>
          <w:tcPr>
            <w:tcW w:w="457" w:type="pct"/>
            <w:vAlign w:val="center"/>
          </w:tcPr>
          <w:p w:rsidR="00BC2B68" w:rsidRPr="00F61D74" w:rsidRDefault="00BC2B68" w:rsidP="00BC2B68">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39</w:t>
            </w:r>
          </w:p>
        </w:tc>
      </w:tr>
      <w:tr w:rsidR="00BC2B68"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6" w:type="pct"/>
            <w:vAlign w:val="center"/>
          </w:tcPr>
          <w:p w:rsidR="00BC2B68" w:rsidRPr="00F61D74" w:rsidRDefault="00BC2B68" w:rsidP="00BC2B68">
            <w:pPr>
              <w:bidi w:val="0"/>
              <w:spacing w:before="100" w:after="100"/>
              <w:jc w:val="center"/>
              <w:rPr>
                <w:rFonts w:asciiTheme="majorBidi" w:hAnsiTheme="majorBidi" w:cstheme="majorBidi"/>
                <w:sz w:val="28"/>
                <w:szCs w:val="28"/>
              </w:rPr>
            </w:pPr>
            <w:r w:rsidRPr="00F61D74">
              <w:rPr>
                <w:rFonts w:asciiTheme="majorBidi" w:hAnsiTheme="majorBidi" w:cstheme="majorBidi"/>
                <w:i/>
                <w:sz w:val="28"/>
                <w:szCs w:val="28"/>
              </w:rPr>
              <w:t>(</w:t>
            </w:r>
            <w:r>
              <w:rPr>
                <w:rFonts w:asciiTheme="majorBidi" w:hAnsiTheme="majorBidi" w:cstheme="majorBidi" w:hint="cs"/>
                <w:i/>
                <w:sz w:val="28"/>
                <w:szCs w:val="28"/>
                <w:rtl/>
              </w:rPr>
              <w:t>3</w:t>
            </w:r>
            <w:r w:rsidRPr="00F61D74">
              <w:rPr>
                <w:rFonts w:asciiTheme="majorBidi" w:hAnsiTheme="majorBidi" w:cstheme="majorBidi"/>
                <w:i/>
                <w:sz w:val="28"/>
                <w:szCs w:val="28"/>
              </w:rPr>
              <w:t>)</w:t>
            </w:r>
          </w:p>
        </w:tc>
        <w:tc>
          <w:tcPr>
            <w:tcW w:w="3827" w:type="pct"/>
          </w:tcPr>
          <w:p w:rsidR="00BC2B68" w:rsidRPr="00887C89" w:rsidRDefault="00BC2B68" w:rsidP="00BC2B68">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670E3">
              <w:rPr>
                <w:rFonts w:asciiTheme="majorBidi" w:eastAsia="Times New Roman" w:hAnsiTheme="majorBidi" w:cstheme="majorBidi"/>
                <w:sz w:val="28"/>
                <w:szCs w:val="28"/>
              </w:rPr>
              <w:t>Type of poison distribution among included subjects</w:t>
            </w:r>
          </w:p>
        </w:tc>
        <w:tc>
          <w:tcPr>
            <w:tcW w:w="457" w:type="pct"/>
            <w:vAlign w:val="center"/>
          </w:tcPr>
          <w:p w:rsidR="00BC2B68" w:rsidRPr="00F61D74" w:rsidRDefault="00BC2B68" w:rsidP="00BC2B68">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lang w:bidi="ar-EG"/>
              </w:rPr>
            </w:pPr>
            <w:r>
              <w:rPr>
                <w:rFonts w:asciiTheme="majorBidi" w:hAnsiTheme="majorBidi" w:cstheme="majorBidi"/>
                <w:sz w:val="28"/>
                <w:szCs w:val="28"/>
                <w:lang w:bidi="ar-EG"/>
              </w:rPr>
              <w:t>42</w:t>
            </w:r>
          </w:p>
        </w:tc>
      </w:tr>
      <w:tr w:rsidR="00BC2B68" w:rsidRPr="00F61D74" w:rsidTr="004371C0">
        <w:trPr>
          <w:trHeight w:val="20"/>
        </w:trPr>
        <w:tc>
          <w:tcPr>
            <w:cnfStyle w:val="001000000000" w:firstRow="0" w:lastRow="0" w:firstColumn="1" w:lastColumn="0" w:oddVBand="0" w:evenVBand="0" w:oddHBand="0" w:evenHBand="0" w:firstRowFirstColumn="0" w:firstRowLastColumn="0" w:lastRowFirstColumn="0" w:lastRowLastColumn="0"/>
            <w:tcW w:w="716" w:type="pct"/>
            <w:vAlign w:val="center"/>
          </w:tcPr>
          <w:p w:rsidR="00BC2B68" w:rsidRPr="00F61D74" w:rsidRDefault="00BC2B68" w:rsidP="00BC2B68">
            <w:pPr>
              <w:bidi w:val="0"/>
              <w:spacing w:before="100" w:after="100"/>
              <w:jc w:val="center"/>
              <w:rPr>
                <w:rFonts w:asciiTheme="majorBidi" w:hAnsiTheme="majorBidi" w:cstheme="majorBidi"/>
                <w:i/>
                <w:sz w:val="28"/>
                <w:szCs w:val="28"/>
              </w:rPr>
            </w:pPr>
            <w:r w:rsidRPr="00F61D74">
              <w:rPr>
                <w:rFonts w:asciiTheme="majorBidi" w:hAnsiTheme="majorBidi" w:cstheme="majorBidi"/>
                <w:i/>
                <w:sz w:val="28"/>
                <w:szCs w:val="28"/>
              </w:rPr>
              <w:t>(</w:t>
            </w:r>
            <w:r>
              <w:rPr>
                <w:rFonts w:asciiTheme="majorBidi" w:hAnsiTheme="majorBidi" w:cstheme="majorBidi"/>
                <w:i/>
                <w:sz w:val="28"/>
                <w:szCs w:val="28"/>
              </w:rPr>
              <w:t>4</w:t>
            </w:r>
            <w:r w:rsidRPr="00F61D74">
              <w:rPr>
                <w:rFonts w:asciiTheme="majorBidi" w:hAnsiTheme="majorBidi" w:cstheme="majorBidi"/>
                <w:i/>
                <w:sz w:val="28"/>
                <w:szCs w:val="28"/>
              </w:rPr>
              <w:t>)</w:t>
            </w:r>
          </w:p>
        </w:tc>
        <w:tc>
          <w:tcPr>
            <w:tcW w:w="3827" w:type="pct"/>
          </w:tcPr>
          <w:p w:rsidR="00BC2B68" w:rsidRPr="00887C89" w:rsidRDefault="00BC2B68" w:rsidP="00BC2B68">
            <w:pPr>
              <w:bidi w:val="0"/>
              <w:spacing w:after="120"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Pr>
            </w:pPr>
            <w:r w:rsidRPr="00E670E3">
              <w:rPr>
                <w:rFonts w:asciiTheme="majorBidi" w:hAnsiTheme="majorBidi" w:cstheme="majorBidi"/>
                <w:sz w:val="28"/>
                <w:szCs w:val="28"/>
              </w:rPr>
              <w:t>ALT and AST among subjects</w:t>
            </w:r>
          </w:p>
        </w:tc>
        <w:tc>
          <w:tcPr>
            <w:tcW w:w="457" w:type="pct"/>
            <w:vAlign w:val="center"/>
          </w:tcPr>
          <w:p w:rsidR="00BC2B68" w:rsidRDefault="00BC2B68" w:rsidP="00BC2B68">
            <w:pPr>
              <w:bidi w:val="0"/>
              <w:spacing w:before="100" w:after="10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8"/>
                <w:szCs w:val="28"/>
                <w:rtl/>
                <w:lang w:bidi="ar-EG"/>
              </w:rPr>
            </w:pPr>
            <w:r>
              <w:rPr>
                <w:rFonts w:asciiTheme="majorBidi" w:hAnsiTheme="majorBidi" w:cstheme="majorBidi" w:hint="cs"/>
                <w:sz w:val="28"/>
                <w:szCs w:val="28"/>
                <w:rtl/>
                <w:lang w:bidi="ar-EG"/>
              </w:rPr>
              <w:t>5</w:t>
            </w:r>
            <w:r>
              <w:rPr>
                <w:rFonts w:asciiTheme="majorBidi" w:hAnsiTheme="majorBidi" w:cstheme="majorBidi"/>
                <w:sz w:val="28"/>
                <w:szCs w:val="28"/>
                <w:lang w:bidi="ar-EG"/>
              </w:rPr>
              <w:t>0</w:t>
            </w:r>
          </w:p>
        </w:tc>
      </w:tr>
    </w:tbl>
    <w:p w:rsidR="0092311A" w:rsidRDefault="0092311A" w:rsidP="0092311A">
      <w:pPr>
        <w:tabs>
          <w:tab w:val="left" w:pos="3318"/>
        </w:tabs>
        <w:bidi w:val="0"/>
        <w:spacing w:line="360" w:lineRule="auto"/>
        <w:rPr>
          <w:rFonts w:ascii="Times New Roman" w:eastAsia="Times New Roman" w:hAnsi="Times New Roman" w:cs="Times New Roman"/>
          <w:b/>
          <w:bCs/>
          <w:sz w:val="36"/>
          <w:szCs w:val="36"/>
          <w:u w:val="single"/>
        </w:rPr>
      </w:pPr>
    </w:p>
    <w:p w:rsidR="007461CB" w:rsidRPr="007461CB" w:rsidRDefault="007461CB" w:rsidP="007461CB">
      <w:pPr>
        <w:bidi w:val="0"/>
        <w:rPr>
          <w:rFonts w:ascii="Times New Roman" w:eastAsia="Times New Roman" w:hAnsi="Times New Roman" w:cs="Times New Roman"/>
          <w:sz w:val="36"/>
          <w:szCs w:val="36"/>
        </w:rPr>
      </w:pPr>
    </w:p>
    <w:p w:rsidR="007461CB" w:rsidRPr="007461CB" w:rsidRDefault="007461CB" w:rsidP="007461CB">
      <w:pPr>
        <w:bidi w:val="0"/>
        <w:rPr>
          <w:rFonts w:ascii="Times New Roman" w:eastAsia="Times New Roman" w:hAnsi="Times New Roman" w:cs="Times New Roman"/>
          <w:sz w:val="36"/>
          <w:szCs w:val="36"/>
        </w:rPr>
      </w:pPr>
    </w:p>
    <w:p w:rsidR="007461CB" w:rsidRPr="007461CB" w:rsidRDefault="007461CB" w:rsidP="007461CB">
      <w:pPr>
        <w:bidi w:val="0"/>
        <w:rPr>
          <w:rFonts w:ascii="Times New Roman" w:eastAsia="Times New Roman" w:hAnsi="Times New Roman" w:cs="Times New Roman"/>
          <w:sz w:val="36"/>
          <w:szCs w:val="36"/>
        </w:rPr>
      </w:pPr>
    </w:p>
    <w:p w:rsidR="007461CB" w:rsidRPr="007461CB" w:rsidRDefault="007461CB" w:rsidP="007461CB">
      <w:pPr>
        <w:bidi w:val="0"/>
        <w:rPr>
          <w:rFonts w:ascii="Times New Roman" w:eastAsia="Times New Roman" w:hAnsi="Times New Roman" w:cs="Times New Roman"/>
          <w:sz w:val="36"/>
          <w:szCs w:val="36"/>
        </w:rPr>
      </w:pPr>
    </w:p>
    <w:p w:rsidR="007461CB" w:rsidRPr="007461CB" w:rsidRDefault="007461CB" w:rsidP="007461CB">
      <w:pPr>
        <w:bidi w:val="0"/>
        <w:rPr>
          <w:rFonts w:ascii="Times New Roman" w:eastAsia="Times New Roman" w:hAnsi="Times New Roman" w:cs="Times New Roman"/>
          <w:sz w:val="36"/>
          <w:szCs w:val="36"/>
        </w:rPr>
      </w:pPr>
    </w:p>
    <w:p w:rsidR="007461CB" w:rsidRPr="007461CB" w:rsidRDefault="007461CB" w:rsidP="007461CB">
      <w:pPr>
        <w:bidi w:val="0"/>
        <w:rPr>
          <w:rFonts w:ascii="Times New Roman" w:eastAsia="Times New Roman" w:hAnsi="Times New Roman" w:cs="Times New Roman"/>
          <w:sz w:val="36"/>
          <w:szCs w:val="36"/>
        </w:rPr>
      </w:pPr>
    </w:p>
    <w:p w:rsidR="007461CB" w:rsidRDefault="007461CB" w:rsidP="007461CB">
      <w:pPr>
        <w:bidi w:val="0"/>
        <w:rPr>
          <w:rFonts w:ascii="Times New Roman" w:eastAsia="Times New Roman" w:hAnsi="Times New Roman" w:cs="Times New Roman"/>
          <w:sz w:val="36"/>
          <w:szCs w:val="36"/>
        </w:rPr>
      </w:pPr>
    </w:p>
    <w:p w:rsidR="00BC2B68" w:rsidRPr="007461CB" w:rsidRDefault="00BC2B68" w:rsidP="00BC2B68">
      <w:pPr>
        <w:bidi w:val="0"/>
        <w:rPr>
          <w:rFonts w:ascii="Times New Roman" w:eastAsia="Times New Roman" w:hAnsi="Times New Roman" w:cs="Times New Roman"/>
          <w:sz w:val="36"/>
          <w:szCs w:val="36"/>
        </w:rPr>
      </w:pPr>
    </w:p>
    <w:p w:rsidR="00BC2B68" w:rsidRDefault="00BC2B68" w:rsidP="007461CB">
      <w:pPr>
        <w:bidi w:val="0"/>
        <w:rPr>
          <w:rFonts w:ascii="Times New Roman" w:eastAsia="Times New Roman" w:hAnsi="Times New Roman" w:cs="Times New Roman"/>
          <w:sz w:val="36"/>
          <w:szCs w:val="36"/>
        </w:rPr>
        <w:sectPr w:rsidR="00BC2B68" w:rsidSect="00BC2B68">
          <w:headerReference w:type="default" r:id="rId18"/>
          <w:pgSz w:w="11906" w:h="16838"/>
          <w:pgMar w:top="1440" w:right="1440" w:bottom="1440" w:left="1440" w:header="708" w:footer="708" w:gutter="0"/>
          <w:pgNumType w:fmt="upperRoman"/>
          <w:cols w:space="708"/>
          <w:bidi/>
          <w:rtlGutter/>
          <w:docGrid w:linePitch="360"/>
        </w:sectPr>
      </w:pPr>
    </w:p>
    <w:p w:rsidR="007461CB" w:rsidRPr="007461CB" w:rsidRDefault="007461CB" w:rsidP="007461CB">
      <w:pPr>
        <w:bidi w:val="0"/>
        <w:rPr>
          <w:rFonts w:ascii="Times New Roman" w:eastAsia="Times New Roman" w:hAnsi="Times New Roman" w:cs="Times New Roman"/>
          <w:sz w:val="36"/>
          <w:szCs w:val="36"/>
        </w:rPr>
      </w:pPr>
    </w:p>
    <w:bookmarkEnd w:id="1"/>
    <w:p w:rsidR="006A3CA1" w:rsidRDefault="0092311A" w:rsidP="007461CB">
      <w:pPr>
        <w:bidi w:val="0"/>
        <w:spacing w:line="360" w:lineRule="auto"/>
        <w:jc w:val="center"/>
        <w:rPr>
          <w:rFonts w:asciiTheme="majorBidi" w:hAnsiTheme="majorBidi" w:cstheme="majorBidi"/>
          <w:b/>
          <w:bCs/>
          <w:sz w:val="44"/>
          <w:szCs w:val="44"/>
        </w:rPr>
      </w:pPr>
      <w:r w:rsidRPr="0092311A">
        <w:rPr>
          <w:rFonts w:asciiTheme="majorBidi" w:hAnsiTheme="majorBidi" w:cstheme="majorBidi"/>
          <w:b/>
          <w:bCs/>
          <w:sz w:val="44"/>
          <w:szCs w:val="44"/>
        </w:rPr>
        <w:t>Introduction</w:t>
      </w:r>
    </w:p>
    <w:p w:rsidR="004371C0" w:rsidRPr="004371C0" w:rsidRDefault="004371C0" w:rsidP="004371C0">
      <w:pPr>
        <w:pStyle w:val="BodyText"/>
        <w:spacing w:before="87" w:line="340" w:lineRule="auto"/>
        <w:ind w:right="26" w:firstLine="540"/>
        <w:jc w:val="both"/>
        <w:rPr>
          <w:color w:val="221F1F"/>
        </w:rPr>
      </w:pPr>
      <w:r w:rsidRPr="004371C0">
        <w:rPr>
          <w:color w:val="221F1F"/>
        </w:rPr>
        <w:t xml:space="preserve">Harming addresses quite possibly of the most widely recognized health related crisis experienced in small kids. Harming is a huge and determined reason for grimness and mortality in youngsters. 5% of all inadvertent youth </w:t>
      </w:r>
      <w:proofErr w:type="spellStart"/>
      <w:r w:rsidRPr="004371C0">
        <w:rPr>
          <w:color w:val="221F1F"/>
        </w:rPr>
        <w:t>passings</w:t>
      </w:r>
      <w:proofErr w:type="spellEnd"/>
      <w:r w:rsidRPr="004371C0">
        <w:rPr>
          <w:color w:val="221F1F"/>
        </w:rPr>
        <w:t xml:space="preserve"> are credited to it (WHO, 2008). The extent of poisonous substances engaged with harming is expansive and requires medical care suppliers to have </w:t>
      </w:r>
      <w:proofErr w:type="gramStart"/>
      <w:r w:rsidRPr="004371C0">
        <w:rPr>
          <w:color w:val="221F1F"/>
        </w:rPr>
        <w:t>a broad</w:t>
      </w:r>
      <w:proofErr w:type="gramEnd"/>
      <w:r w:rsidRPr="004371C0">
        <w:rPr>
          <w:color w:val="221F1F"/>
        </w:rPr>
        <w:t xml:space="preserve"> information on signs and side effects of harming and explicit remedial intercessions and </w:t>
      </w:r>
      <w:proofErr w:type="spellStart"/>
      <w:r w:rsidRPr="004371C0">
        <w:rPr>
          <w:color w:val="221F1F"/>
        </w:rPr>
        <w:t>counteractants</w:t>
      </w:r>
      <w:proofErr w:type="spellEnd"/>
      <w:r w:rsidRPr="004371C0">
        <w:rPr>
          <w:color w:val="221F1F"/>
        </w:rPr>
        <w:t>.</w:t>
      </w:r>
    </w:p>
    <w:p w:rsidR="004371C0" w:rsidRPr="004371C0" w:rsidRDefault="004371C0" w:rsidP="004371C0">
      <w:pPr>
        <w:pStyle w:val="BodyText"/>
        <w:spacing w:before="87" w:line="340" w:lineRule="auto"/>
        <w:ind w:right="26" w:firstLine="540"/>
        <w:jc w:val="both"/>
        <w:rPr>
          <w:color w:val="221F1F"/>
        </w:rPr>
      </w:pPr>
      <w:r w:rsidRPr="004371C0">
        <w:rPr>
          <w:color w:val="221F1F"/>
        </w:rPr>
        <w:t xml:space="preserve">There are different courses of openness to poisonous specialists; ingestions represent most openings (Watson et al., 2004). Ingestion was the significant course of openness and represented practically 77% of cases; this is continued in recurrence by dermal, inward breath, and visual courses. Most harming openings in kids more youthful than 6 years old are unexpected, which suggests that these openings are not related with pernicious or self-destructive expectation. Harming in this age bunch generally includes just a single substance that frequently is nontoxic or negligibly poisonous. The sum ingested for the most part is little and youngsters normally present for assessment not long after ingestion (Hoffman and </w:t>
      </w:r>
      <w:proofErr w:type="spellStart"/>
      <w:r w:rsidRPr="004371C0">
        <w:rPr>
          <w:color w:val="221F1F"/>
        </w:rPr>
        <w:t>Osterhoudt</w:t>
      </w:r>
      <w:proofErr w:type="spellEnd"/>
      <w:r w:rsidRPr="004371C0">
        <w:rPr>
          <w:color w:val="221F1F"/>
        </w:rPr>
        <w:t xml:space="preserve">, 2002). A little gathering of drug specialists and family items can make hazardous impacts when ingested in little amounts. A ''taste or pill can kill,'' is a classification of items with the possibility to cause perilous poisonousness or demise a more youthful in a kid than 2 years old, notwithstanding the ingestion of only a couple of tablets or tastes (Bryant and Vocalist, 2003; Michael and </w:t>
      </w:r>
      <w:proofErr w:type="spellStart"/>
      <w:r w:rsidRPr="004371C0">
        <w:rPr>
          <w:color w:val="221F1F"/>
        </w:rPr>
        <w:t>Sztajnkrycer</w:t>
      </w:r>
      <w:proofErr w:type="spellEnd"/>
      <w:r w:rsidRPr="004371C0">
        <w:rPr>
          <w:color w:val="221F1F"/>
        </w:rPr>
        <w:t>, 2004).</w:t>
      </w:r>
    </w:p>
    <w:p w:rsidR="004371C0" w:rsidRDefault="004371C0" w:rsidP="004371C0">
      <w:pPr>
        <w:pStyle w:val="BodyText"/>
        <w:spacing w:before="87" w:line="340" w:lineRule="auto"/>
        <w:ind w:right="26" w:firstLine="540"/>
        <w:jc w:val="both"/>
        <w:rPr>
          <w:color w:val="221F1F"/>
        </w:rPr>
      </w:pPr>
      <w:r w:rsidRPr="004371C0">
        <w:rPr>
          <w:color w:val="221F1F"/>
        </w:rPr>
        <w:t>The normal specialists engaged with pediatric openings are beauty care products/individual consideration items, analgesics, family cleaning substances, analgesics, unfamiliar bodies/toys/various, and effective arrangements (</w:t>
      </w:r>
      <w:proofErr w:type="spellStart"/>
      <w:r w:rsidRPr="004371C0">
        <w:rPr>
          <w:color w:val="221F1F"/>
        </w:rPr>
        <w:t>Mowry</w:t>
      </w:r>
      <w:proofErr w:type="spellEnd"/>
      <w:r w:rsidRPr="004371C0">
        <w:rPr>
          <w:color w:val="221F1F"/>
        </w:rPr>
        <w:t xml:space="preserve"> et al., 2013). Substances ingested less much of the time, yet particularly </w:t>
      </w:r>
      <w:r w:rsidRPr="004371C0">
        <w:rPr>
          <w:color w:val="221F1F"/>
        </w:rPr>
        <w:lastRenderedPageBreak/>
        <w:t>hazardous because of possibly deadly impacts in a single portion to little kids, are hypoglycemic specialists, narcotics, alcohols, antidepressants, theophylline, barbiturates, cocaine, iron, clonidine, and harsh substances (</w:t>
      </w:r>
      <w:proofErr w:type="spellStart"/>
      <w:r w:rsidRPr="004371C0">
        <w:rPr>
          <w:color w:val="221F1F"/>
        </w:rPr>
        <w:t>Liebelt</w:t>
      </w:r>
      <w:proofErr w:type="spellEnd"/>
      <w:r w:rsidRPr="004371C0">
        <w:rPr>
          <w:color w:val="221F1F"/>
        </w:rPr>
        <w:t xml:space="preserve"> and Shannon, 1993; </w:t>
      </w:r>
      <w:proofErr w:type="spellStart"/>
      <w:r w:rsidRPr="004371C0">
        <w:rPr>
          <w:color w:val="221F1F"/>
        </w:rPr>
        <w:t>Sachdeva</w:t>
      </w:r>
      <w:proofErr w:type="spellEnd"/>
      <w:r w:rsidRPr="004371C0">
        <w:rPr>
          <w:color w:val="221F1F"/>
        </w:rPr>
        <w:t xml:space="preserve"> and </w:t>
      </w:r>
      <w:proofErr w:type="spellStart"/>
      <w:r w:rsidRPr="004371C0">
        <w:rPr>
          <w:color w:val="221F1F"/>
        </w:rPr>
        <w:t>Stadnyk</w:t>
      </w:r>
      <w:proofErr w:type="spellEnd"/>
      <w:r w:rsidRPr="004371C0">
        <w:rPr>
          <w:color w:val="221F1F"/>
        </w:rPr>
        <w:t>, 2005). The point of the ongoing review is to assess the frequency and the board of various kinds of harming in the pediatric populace</w:t>
      </w:r>
    </w:p>
    <w:p w:rsidR="00233245" w:rsidRPr="00F472C3" w:rsidRDefault="00233245" w:rsidP="004371C0">
      <w:pPr>
        <w:pStyle w:val="BodyText"/>
        <w:spacing w:before="87" w:line="340" w:lineRule="auto"/>
        <w:ind w:right="26" w:firstLine="540"/>
        <w:jc w:val="both"/>
        <w:rPr>
          <w:color w:val="221F1F"/>
        </w:rPr>
        <w:sectPr w:rsidR="00233245" w:rsidRPr="00F472C3" w:rsidSect="00BC2B68">
          <w:footerReference w:type="default" r:id="rId19"/>
          <w:pgSz w:w="11906" w:h="16838"/>
          <w:pgMar w:top="1440" w:right="1440" w:bottom="1440" w:left="1440" w:header="708" w:footer="708" w:gutter="0"/>
          <w:pgNumType w:start="1"/>
          <w:cols w:space="708"/>
          <w:bidi/>
          <w:rtlGutter/>
          <w:docGrid w:linePitch="360"/>
        </w:sectPr>
      </w:pPr>
    </w:p>
    <w:p w:rsidR="0092311A" w:rsidRDefault="0092311A" w:rsidP="00233245">
      <w:pPr>
        <w:bidi w:val="0"/>
        <w:spacing w:line="360" w:lineRule="auto"/>
        <w:jc w:val="center"/>
        <w:rPr>
          <w:rFonts w:asciiTheme="majorBidi" w:hAnsiTheme="majorBidi" w:cstheme="majorBidi"/>
          <w:b/>
          <w:bCs/>
          <w:sz w:val="44"/>
          <w:szCs w:val="44"/>
        </w:rPr>
      </w:pPr>
      <w:r w:rsidRPr="0092311A">
        <w:rPr>
          <w:rFonts w:asciiTheme="majorBidi" w:hAnsiTheme="majorBidi" w:cstheme="majorBidi"/>
          <w:b/>
          <w:bCs/>
          <w:sz w:val="44"/>
          <w:szCs w:val="44"/>
        </w:rPr>
        <w:lastRenderedPageBreak/>
        <w:t xml:space="preserve">Aim of </w:t>
      </w:r>
      <w:proofErr w:type="gramStart"/>
      <w:r>
        <w:rPr>
          <w:rFonts w:asciiTheme="majorBidi" w:hAnsiTheme="majorBidi" w:cstheme="majorBidi"/>
          <w:b/>
          <w:bCs/>
          <w:sz w:val="44"/>
          <w:szCs w:val="44"/>
        </w:rPr>
        <w:t>T</w:t>
      </w:r>
      <w:r w:rsidRPr="0092311A">
        <w:rPr>
          <w:rFonts w:asciiTheme="majorBidi" w:hAnsiTheme="majorBidi" w:cstheme="majorBidi"/>
          <w:b/>
          <w:bCs/>
          <w:sz w:val="44"/>
          <w:szCs w:val="44"/>
        </w:rPr>
        <w:t>he</w:t>
      </w:r>
      <w:proofErr w:type="gramEnd"/>
      <w:r w:rsidRPr="0092311A">
        <w:rPr>
          <w:rFonts w:asciiTheme="majorBidi" w:hAnsiTheme="majorBidi" w:cstheme="majorBidi"/>
          <w:b/>
          <w:bCs/>
          <w:sz w:val="44"/>
          <w:szCs w:val="44"/>
        </w:rPr>
        <w:t xml:space="preserve"> </w:t>
      </w:r>
      <w:r>
        <w:rPr>
          <w:rFonts w:asciiTheme="majorBidi" w:hAnsiTheme="majorBidi" w:cstheme="majorBidi"/>
          <w:b/>
          <w:bCs/>
          <w:sz w:val="44"/>
          <w:szCs w:val="44"/>
        </w:rPr>
        <w:t>Study</w:t>
      </w:r>
    </w:p>
    <w:p w:rsidR="00F472C3" w:rsidRDefault="00F472C3" w:rsidP="00F472C3">
      <w:pPr>
        <w:pStyle w:val="BodyText"/>
        <w:spacing w:before="87" w:line="340" w:lineRule="auto"/>
        <w:ind w:right="823"/>
        <w:jc w:val="both"/>
        <w:rPr>
          <w:color w:val="221F1F"/>
        </w:rPr>
      </w:pPr>
      <w:r w:rsidRPr="002A7DF7">
        <w:rPr>
          <w:color w:val="221F1F"/>
        </w:rPr>
        <w:t>The purpose of the present study is to</w:t>
      </w:r>
      <w:r>
        <w:rPr>
          <w:color w:val="221F1F"/>
        </w:rPr>
        <w:t>:</w:t>
      </w:r>
    </w:p>
    <w:p w:rsidR="00F472C3" w:rsidRDefault="00F472C3" w:rsidP="00F472C3">
      <w:pPr>
        <w:pStyle w:val="BodyText"/>
        <w:numPr>
          <w:ilvl w:val="0"/>
          <w:numId w:val="16"/>
        </w:numPr>
        <w:spacing w:before="87" w:line="340" w:lineRule="auto"/>
        <w:ind w:left="0" w:right="823" w:firstLine="0"/>
        <w:jc w:val="both"/>
        <w:rPr>
          <w:color w:val="221F1F"/>
        </w:rPr>
      </w:pPr>
      <w:r>
        <w:rPr>
          <w:color w:val="221F1F"/>
        </w:rPr>
        <w:t>Measure</w:t>
      </w:r>
      <w:r w:rsidRPr="002A7DF7">
        <w:rPr>
          <w:color w:val="221F1F"/>
        </w:rPr>
        <w:t xml:space="preserve"> the incidence </w:t>
      </w:r>
      <w:r>
        <w:rPr>
          <w:color w:val="221F1F"/>
        </w:rPr>
        <w:t xml:space="preserve">of poisoning in the pediatric population in </w:t>
      </w:r>
      <w:proofErr w:type="spellStart"/>
      <w:r>
        <w:rPr>
          <w:color w:val="221F1F"/>
        </w:rPr>
        <w:t>Qena</w:t>
      </w:r>
      <w:proofErr w:type="spellEnd"/>
      <w:r>
        <w:rPr>
          <w:color w:val="221F1F"/>
        </w:rPr>
        <w:t xml:space="preserve"> University Hospital.</w:t>
      </w:r>
    </w:p>
    <w:p w:rsidR="00F472C3" w:rsidRPr="002A7DF7" w:rsidRDefault="00F472C3" w:rsidP="00F472C3">
      <w:pPr>
        <w:pStyle w:val="BodyText"/>
        <w:numPr>
          <w:ilvl w:val="0"/>
          <w:numId w:val="16"/>
        </w:numPr>
        <w:spacing w:before="87" w:line="340" w:lineRule="auto"/>
        <w:ind w:left="0" w:right="823" w:firstLine="0"/>
        <w:jc w:val="both"/>
        <w:rPr>
          <w:color w:val="221F1F"/>
        </w:rPr>
      </w:pPr>
      <w:r>
        <w:rPr>
          <w:color w:val="221F1F"/>
        </w:rPr>
        <w:t>Determine the</w:t>
      </w:r>
      <w:r w:rsidRPr="002A7DF7">
        <w:rPr>
          <w:color w:val="221F1F"/>
        </w:rPr>
        <w:t xml:space="preserve"> effects</w:t>
      </w:r>
      <w:r>
        <w:rPr>
          <w:color w:val="221F1F"/>
        </w:rPr>
        <w:t xml:space="preserve"> and outcome</w:t>
      </w:r>
      <w:r w:rsidRPr="002A7DF7">
        <w:rPr>
          <w:color w:val="221F1F"/>
        </w:rPr>
        <w:t xml:space="preserve"> of poisoning in the pediatric population in </w:t>
      </w:r>
      <w:proofErr w:type="spellStart"/>
      <w:r w:rsidRPr="002A7DF7">
        <w:rPr>
          <w:color w:val="221F1F"/>
        </w:rPr>
        <w:t>Qena</w:t>
      </w:r>
      <w:proofErr w:type="spellEnd"/>
      <w:r w:rsidRPr="002A7DF7">
        <w:rPr>
          <w:color w:val="221F1F"/>
        </w:rPr>
        <w:t xml:space="preserve"> University Hospital.</w:t>
      </w: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92311A" w:rsidRDefault="0092311A" w:rsidP="0092311A">
      <w:pPr>
        <w:bidi w:val="0"/>
        <w:spacing w:before="240" w:line="360" w:lineRule="auto"/>
        <w:ind w:firstLine="720"/>
        <w:jc w:val="both"/>
        <w:rPr>
          <w:rFonts w:asciiTheme="majorBidi" w:hAnsiTheme="majorBidi" w:cstheme="majorBidi"/>
          <w:sz w:val="28"/>
          <w:szCs w:val="28"/>
        </w:rPr>
      </w:pPr>
    </w:p>
    <w:p w:rsidR="00233245" w:rsidRDefault="00233245" w:rsidP="006D6E28">
      <w:pPr>
        <w:bidi w:val="0"/>
        <w:spacing w:before="240" w:line="360" w:lineRule="auto"/>
        <w:jc w:val="both"/>
        <w:rPr>
          <w:rFonts w:asciiTheme="majorBidi" w:hAnsiTheme="majorBidi" w:cstheme="majorBidi"/>
          <w:sz w:val="28"/>
          <w:szCs w:val="28"/>
        </w:rPr>
        <w:sectPr w:rsidR="00233245" w:rsidSect="004371C0">
          <w:headerReference w:type="default" r:id="rId20"/>
          <w:pgSz w:w="11906" w:h="16838"/>
          <w:pgMar w:top="1440" w:right="1440" w:bottom="1440" w:left="1440" w:header="708" w:footer="708" w:gutter="0"/>
          <w:cols w:space="708"/>
          <w:bidi/>
          <w:rtlGutter/>
          <w:docGrid w:linePitch="360"/>
        </w:sectPr>
      </w:pPr>
    </w:p>
    <w:p w:rsidR="0092311A" w:rsidRPr="00F472C3" w:rsidRDefault="0092311A" w:rsidP="006D6E28">
      <w:pPr>
        <w:bidi w:val="0"/>
        <w:jc w:val="center"/>
        <w:rPr>
          <w:rFonts w:asciiTheme="majorBidi" w:hAnsiTheme="majorBidi" w:cstheme="majorBidi"/>
          <w:b/>
          <w:bCs/>
          <w:sz w:val="44"/>
          <w:szCs w:val="44"/>
          <w:lang w:bidi="ar-EG"/>
        </w:rPr>
      </w:pPr>
      <w:r w:rsidRPr="00F472C3">
        <w:rPr>
          <w:rFonts w:asciiTheme="majorBidi" w:hAnsiTheme="majorBidi" w:cstheme="majorBidi"/>
          <w:b/>
          <w:bCs/>
          <w:sz w:val="44"/>
          <w:szCs w:val="44"/>
          <w:lang w:bidi="ar-EG"/>
        </w:rPr>
        <w:lastRenderedPageBreak/>
        <w:t>Chapter (1)</w:t>
      </w:r>
    </w:p>
    <w:p w:rsidR="0092311A" w:rsidRDefault="00F472C3" w:rsidP="0092311A">
      <w:pPr>
        <w:bidi w:val="0"/>
        <w:jc w:val="center"/>
        <w:rPr>
          <w:rFonts w:asciiTheme="majorBidi" w:hAnsiTheme="majorBidi" w:cstheme="majorBidi"/>
          <w:b/>
          <w:bCs/>
          <w:sz w:val="44"/>
          <w:szCs w:val="44"/>
          <w:lang w:bidi="ar-EG"/>
        </w:rPr>
      </w:pPr>
      <w:r w:rsidRPr="00F472C3">
        <w:rPr>
          <w:rFonts w:asciiTheme="majorBidi" w:hAnsiTheme="majorBidi" w:cstheme="majorBidi"/>
          <w:b/>
          <w:bCs/>
          <w:sz w:val="44"/>
          <w:szCs w:val="44"/>
          <w:lang w:bidi="ar-EG"/>
        </w:rPr>
        <w:t>Childhood Poisoning</w:t>
      </w:r>
    </w:p>
    <w:p w:rsidR="004371C0" w:rsidRPr="004371C0" w:rsidRDefault="004371C0" w:rsidP="004371C0">
      <w:pPr>
        <w:pStyle w:val="BodyText"/>
        <w:spacing w:before="87" w:line="340" w:lineRule="auto"/>
        <w:ind w:right="26" w:firstLine="540"/>
        <w:jc w:val="both"/>
        <w:rPr>
          <w:color w:val="221F1F"/>
        </w:rPr>
      </w:pPr>
      <w:r w:rsidRPr="004371C0">
        <w:rPr>
          <w:color w:val="221F1F"/>
        </w:rPr>
        <w:t xml:space="preserve">The pediatric populace is a very inclined segment for harming given that they require steady oversight and </w:t>
      </w:r>
      <w:proofErr w:type="gramStart"/>
      <w:r w:rsidRPr="004371C0">
        <w:rPr>
          <w:color w:val="221F1F"/>
        </w:rPr>
        <w:t>that</w:t>
      </w:r>
      <w:proofErr w:type="gramEnd"/>
      <w:r w:rsidRPr="004371C0">
        <w:rPr>
          <w:color w:val="221F1F"/>
        </w:rPr>
        <w:t xml:space="preserve"> they are inclined to exploring different avenues regarding materials that they are curious about. That, however they are likewise very inclined to the poisonousness because of their little bodies and youthful catalyst frameworks, which renders them more at risk for serious damage or even passing (</w:t>
      </w:r>
      <w:proofErr w:type="spellStart"/>
      <w:r w:rsidRPr="004371C0">
        <w:rPr>
          <w:color w:val="221F1F"/>
        </w:rPr>
        <w:t>Bacha</w:t>
      </w:r>
      <w:proofErr w:type="spellEnd"/>
      <w:r w:rsidRPr="004371C0">
        <w:rPr>
          <w:color w:val="221F1F"/>
        </w:rPr>
        <w:t xml:space="preserve"> and </w:t>
      </w:r>
      <w:proofErr w:type="spellStart"/>
      <w:r w:rsidRPr="004371C0">
        <w:rPr>
          <w:color w:val="221F1F"/>
        </w:rPr>
        <w:t>Tilahun</w:t>
      </w:r>
      <w:proofErr w:type="spellEnd"/>
      <w:r w:rsidRPr="004371C0">
        <w:rPr>
          <w:color w:val="221F1F"/>
        </w:rPr>
        <w:t xml:space="preserve"> 2015; Lin et al., 2011).</w:t>
      </w:r>
    </w:p>
    <w:p w:rsidR="004371C0" w:rsidRPr="004371C0" w:rsidRDefault="004371C0" w:rsidP="004371C0">
      <w:pPr>
        <w:pStyle w:val="BodyText"/>
        <w:spacing w:before="87" w:line="340" w:lineRule="auto"/>
        <w:ind w:right="26" w:firstLine="540"/>
        <w:jc w:val="both"/>
        <w:rPr>
          <w:color w:val="221F1F"/>
        </w:rPr>
      </w:pPr>
      <w:r w:rsidRPr="004371C0">
        <w:rPr>
          <w:color w:val="221F1F"/>
        </w:rPr>
        <w:t xml:space="preserve">In a few pediatric poisonings, the substances are non-or negligibly poisonous, yet periodically some are seriously poisonous, requiring prompt and explicit clinical mediation to forestall extreme mischief or demise. The crisis division doctor should be know all about the administration of harming and be ready for the normal reasons for pediatric harming as indicated by the latest accessible data (Charm and </w:t>
      </w:r>
      <w:proofErr w:type="spellStart"/>
      <w:r w:rsidRPr="004371C0">
        <w:rPr>
          <w:color w:val="221F1F"/>
        </w:rPr>
        <w:t>Ryoo</w:t>
      </w:r>
      <w:proofErr w:type="spellEnd"/>
      <w:r w:rsidRPr="004371C0">
        <w:rPr>
          <w:color w:val="221F1F"/>
        </w:rPr>
        <w:t>, 2013) (Figure 1, 2).</w:t>
      </w:r>
    </w:p>
    <w:p w:rsidR="004371C0" w:rsidRPr="004371C0" w:rsidRDefault="004371C0" w:rsidP="004371C0">
      <w:pPr>
        <w:pStyle w:val="BodyText"/>
        <w:spacing w:before="87" w:line="340" w:lineRule="auto"/>
        <w:ind w:right="26" w:firstLine="540"/>
        <w:jc w:val="both"/>
        <w:rPr>
          <w:color w:val="221F1F"/>
        </w:rPr>
      </w:pPr>
      <w:r w:rsidRPr="004371C0">
        <w:rPr>
          <w:color w:val="221F1F"/>
        </w:rPr>
        <w:t>Indeed, even in similar region, the etiology and socioeconomics of pediatric harming might change over the long haul; subsequently, it is consistently really difficult for ED doctors (</w:t>
      </w:r>
      <w:proofErr w:type="spellStart"/>
      <w:r w:rsidRPr="004371C0">
        <w:rPr>
          <w:color w:val="221F1F"/>
        </w:rPr>
        <w:t>Bacha</w:t>
      </w:r>
      <w:proofErr w:type="spellEnd"/>
      <w:r w:rsidRPr="004371C0">
        <w:rPr>
          <w:color w:val="221F1F"/>
        </w:rPr>
        <w:t xml:space="preserve"> and </w:t>
      </w:r>
      <w:proofErr w:type="spellStart"/>
      <w:r w:rsidRPr="004371C0">
        <w:rPr>
          <w:color w:val="221F1F"/>
        </w:rPr>
        <w:t>Tilahun</w:t>
      </w:r>
      <w:proofErr w:type="spellEnd"/>
      <w:r w:rsidRPr="004371C0">
        <w:rPr>
          <w:color w:val="221F1F"/>
        </w:rPr>
        <w:t xml:space="preserve"> 2015; Lee et al., 2008; Lin et al., 2011; Slam et al., 2014). The most well-known specialists ingested by youngsters more youthful than 6 years old in 2021 (</w:t>
      </w:r>
      <w:proofErr w:type="spellStart"/>
      <w:r w:rsidRPr="004371C0">
        <w:rPr>
          <w:color w:val="221F1F"/>
        </w:rPr>
        <w:t>Gummin</w:t>
      </w:r>
      <w:proofErr w:type="spellEnd"/>
      <w:r w:rsidRPr="004371C0">
        <w:rPr>
          <w:color w:val="221F1F"/>
        </w:rPr>
        <w:t xml:space="preserve"> et al., 2021) are beauty care products and individual consideration items, cleaning substances (family), analgesics, unfamiliar bodies/toys/different, dietary enhancements/herbals/homeopathic, nutrients, skin arrangements, allergy meds, pesticides, plants, gastrointestinal arrangements, cardiovascular medications, expressions/makes/office supplies, electrolytes and minerals, natural balms, antimicrobials, chemicals and chemical bad guys, and deodorizers.</w:t>
      </w:r>
    </w:p>
    <w:p w:rsidR="004371C0" w:rsidRPr="004371C0" w:rsidRDefault="004371C0" w:rsidP="004371C0">
      <w:pPr>
        <w:pStyle w:val="BodyText"/>
        <w:spacing w:before="87" w:line="340" w:lineRule="auto"/>
        <w:ind w:right="26" w:firstLine="540"/>
        <w:jc w:val="both"/>
        <w:rPr>
          <w:color w:val="221F1F"/>
        </w:rPr>
      </w:pPr>
      <w:r w:rsidRPr="004371C0">
        <w:rPr>
          <w:color w:val="221F1F"/>
        </w:rPr>
        <w:t xml:space="preserve"> Coming up next is a rundown of reasons for harming in kids:</w:t>
      </w:r>
    </w:p>
    <w:p w:rsidR="004371C0" w:rsidRPr="004371C0" w:rsidRDefault="004371C0" w:rsidP="004371C0">
      <w:pPr>
        <w:pStyle w:val="BodyText"/>
        <w:spacing w:before="87" w:line="340" w:lineRule="auto"/>
        <w:ind w:right="26" w:firstLine="540"/>
        <w:jc w:val="both"/>
        <w:rPr>
          <w:color w:val="221F1F"/>
          <w:rtl/>
        </w:rPr>
      </w:pPr>
      <w:r w:rsidRPr="004371C0">
        <w:rPr>
          <w:color w:val="221F1F"/>
        </w:rPr>
        <w:t xml:space="preserve">1 - Hydrocarbons: Utilized for cooking, lighting, and warming are the principal family administrations given by lamp oil, despite the fact that there are </w:t>
      </w:r>
      <w:r w:rsidRPr="004371C0">
        <w:rPr>
          <w:color w:val="221F1F"/>
        </w:rPr>
        <w:lastRenderedPageBreak/>
        <w:t>lamp oil coolers and different machines in certain areas. Lamp oil warming isn't broad in calm or high country areas of non-industrial nations, basically on account of cost. Goal pneumonitis is the most widely recognized appearance of lamp fuel ingestion because of its low consistency, high instability, and low surface strain (Kumar et al., 2019; Lam et al., 2012).</w:t>
      </w:r>
    </w:p>
    <w:p w:rsidR="004371C0" w:rsidRDefault="004371C0" w:rsidP="004371C0">
      <w:pPr>
        <w:pStyle w:val="BodyText"/>
        <w:spacing w:before="87" w:line="340" w:lineRule="auto"/>
        <w:ind w:right="26" w:firstLine="540"/>
        <w:jc w:val="both"/>
        <w:rPr>
          <w:color w:val="221F1F"/>
        </w:rPr>
      </w:pPr>
      <w:r w:rsidRPr="004371C0">
        <w:rPr>
          <w:color w:val="221F1F"/>
        </w:rPr>
        <w:t xml:space="preserve">2 - </w:t>
      </w:r>
      <w:proofErr w:type="spellStart"/>
      <w:r w:rsidRPr="004371C0">
        <w:rPr>
          <w:color w:val="221F1F"/>
        </w:rPr>
        <w:t>Organophosphorus</w:t>
      </w:r>
      <w:proofErr w:type="spellEnd"/>
      <w:r w:rsidRPr="004371C0">
        <w:rPr>
          <w:color w:val="221F1F"/>
        </w:rPr>
        <w:t xml:space="preserve"> compounds: Parent's occupation (horticultural ordinarily) and organophosphate deposits in home floor covering dust are the two familiar methods of harming. A few </w:t>
      </w:r>
      <w:proofErr w:type="spellStart"/>
      <w:r w:rsidRPr="004371C0">
        <w:rPr>
          <w:color w:val="221F1F"/>
        </w:rPr>
        <w:t>organophosphorus</w:t>
      </w:r>
      <w:proofErr w:type="spellEnd"/>
      <w:r w:rsidRPr="004371C0">
        <w:rPr>
          <w:color w:val="221F1F"/>
        </w:rPr>
        <w:t xml:space="preserve"> mixtures like organophosphate pesticides and </w:t>
      </w:r>
      <w:proofErr w:type="spellStart"/>
      <w:r w:rsidRPr="004371C0">
        <w:rPr>
          <w:color w:val="221F1F"/>
        </w:rPr>
        <w:t>trialkylphosphates</w:t>
      </w:r>
      <w:proofErr w:type="spellEnd"/>
      <w:r w:rsidRPr="004371C0">
        <w:rPr>
          <w:color w:val="221F1F"/>
        </w:rPr>
        <w:t xml:space="preserve"> are thought to hinder cholinesterase exercises, to influence endocrine frameworks or to perhaps be cancer-causing (Head servant Dawson et al., 2016; Yoshida et al., 2022).</w:t>
      </w:r>
    </w:p>
    <w:p w:rsidR="00F472C3" w:rsidRPr="00D142D1" w:rsidRDefault="00F472C3" w:rsidP="004371C0">
      <w:pPr>
        <w:pStyle w:val="BodyText"/>
        <w:spacing w:before="87" w:line="340" w:lineRule="auto"/>
        <w:ind w:right="26" w:firstLine="540"/>
        <w:jc w:val="both"/>
        <w:rPr>
          <w:color w:val="221F1F"/>
        </w:rPr>
      </w:pPr>
    </w:p>
    <w:p w:rsidR="00F472C3" w:rsidRPr="002A7DF7" w:rsidRDefault="00F472C3" w:rsidP="00F472C3">
      <w:pPr>
        <w:pStyle w:val="BodyText"/>
        <w:spacing w:before="87" w:line="360" w:lineRule="auto"/>
        <w:ind w:left="230" w:right="823"/>
        <w:jc w:val="both"/>
        <w:rPr>
          <w:color w:val="221F1F"/>
        </w:rPr>
      </w:pPr>
    </w:p>
    <w:p w:rsidR="00F472C3" w:rsidRDefault="00F472C3" w:rsidP="00F472C3">
      <w:pPr>
        <w:spacing w:line="360" w:lineRule="auto"/>
        <w:jc w:val="center"/>
        <w:rPr>
          <w:rFonts w:asciiTheme="majorBidi" w:hAnsiTheme="majorBidi" w:cstheme="majorBidi"/>
          <w:bCs/>
          <w:sz w:val="28"/>
          <w:szCs w:val="28"/>
          <w:lang w:bidi="ar-EG"/>
        </w:rPr>
      </w:pPr>
      <w:r>
        <w:rPr>
          <w:rFonts w:asciiTheme="majorBidi" w:hAnsiTheme="majorBidi" w:cstheme="majorBidi"/>
          <w:bCs/>
          <w:noProof/>
          <w:sz w:val="28"/>
          <w:szCs w:val="28"/>
        </w:rPr>
        <w:drawing>
          <wp:inline distT="0" distB="0" distL="0" distR="0" wp14:anchorId="4D802C83" wp14:editId="3E15D797">
            <wp:extent cx="4655779"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5672" cy="3374327"/>
                    </a:xfrm>
                    <a:prstGeom prst="rect">
                      <a:avLst/>
                    </a:prstGeom>
                    <a:noFill/>
                    <a:ln>
                      <a:noFill/>
                    </a:ln>
                  </pic:spPr>
                </pic:pic>
              </a:graphicData>
            </a:graphic>
          </wp:inline>
        </w:drawing>
      </w:r>
    </w:p>
    <w:p w:rsidR="00F472C3" w:rsidRDefault="00F472C3" w:rsidP="00F472C3">
      <w:pPr>
        <w:spacing w:line="360" w:lineRule="auto"/>
        <w:jc w:val="center"/>
        <w:rPr>
          <w:rFonts w:asciiTheme="majorBidi" w:hAnsiTheme="majorBidi" w:cstheme="majorBidi"/>
          <w:bCs/>
          <w:sz w:val="28"/>
          <w:szCs w:val="28"/>
          <w:lang w:bidi="ar-EG"/>
        </w:rPr>
      </w:pPr>
      <w:r w:rsidRPr="0039778C">
        <w:rPr>
          <w:rFonts w:asciiTheme="majorBidi" w:hAnsiTheme="majorBidi" w:cstheme="majorBidi"/>
          <w:bCs/>
          <w:noProof/>
          <w:sz w:val="28"/>
          <w:szCs w:val="28"/>
        </w:rPr>
        <w:lastRenderedPageBreak/>
        <w:drawing>
          <wp:inline distT="0" distB="0" distL="0" distR="0" wp14:anchorId="17EE35C1" wp14:editId="5A6120B7">
            <wp:extent cx="4157963" cy="3131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9795" cy="3155796"/>
                    </a:xfrm>
                    <a:prstGeom prst="rect">
                      <a:avLst/>
                    </a:prstGeom>
                  </pic:spPr>
                </pic:pic>
              </a:graphicData>
            </a:graphic>
          </wp:inline>
        </w:drawing>
      </w:r>
    </w:p>
    <w:p w:rsidR="004371C0" w:rsidRPr="004371C0" w:rsidRDefault="004371C0" w:rsidP="004371C0">
      <w:pPr>
        <w:pStyle w:val="BodyText"/>
        <w:spacing w:before="87" w:line="340" w:lineRule="auto"/>
        <w:ind w:right="26" w:firstLine="540"/>
        <w:jc w:val="both"/>
        <w:rPr>
          <w:color w:val="221F1F"/>
        </w:rPr>
      </w:pPr>
      <w:proofErr w:type="gramStart"/>
      <w:r w:rsidRPr="004371C0">
        <w:rPr>
          <w:color w:val="221F1F"/>
        </w:rPr>
        <w:t>Figure 2.</w:t>
      </w:r>
      <w:proofErr w:type="gramEnd"/>
      <w:r w:rsidRPr="004371C0">
        <w:rPr>
          <w:color w:val="221F1F"/>
        </w:rPr>
        <w:t xml:space="preserve"> Dissemination of Human Openness to Harming in 2020 (2020 Yearly Report of the American Relationship of Toxic substance Control Focuses' Public Toxin Information Framework, 2020).</w:t>
      </w:r>
    </w:p>
    <w:p w:rsidR="004371C0" w:rsidRPr="004371C0" w:rsidRDefault="004371C0" w:rsidP="004371C0">
      <w:pPr>
        <w:pStyle w:val="BodyText"/>
        <w:spacing w:before="87" w:line="340" w:lineRule="auto"/>
        <w:ind w:right="26" w:firstLine="540"/>
        <w:jc w:val="both"/>
        <w:rPr>
          <w:color w:val="221F1F"/>
        </w:rPr>
      </w:pPr>
      <w:r w:rsidRPr="004371C0">
        <w:rPr>
          <w:color w:val="221F1F"/>
        </w:rPr>
        <w:t>3 - Destructive ingestion: Salt is the most widely recognized reason for acidic ingestion in the pediatric populace. They are for the most part of the accompanying kinds:</w:t>
      </w:r>
    </w:p>
    <w:p w:rsidR="004371C0" w:rsidRPr="004371C0" w:rsidRDefault="004371C0" w:rsidP="004371C0">
      <w:pPr>
        <w:pStyle w:val="BodyText"/>
        <w:spacing w:before="87" w:line="340" w:lineRule="auto"/>
        <w:ind w:right="26" w:firstLine="540"/>
        <w:jc w:val="both"/>
        <w:rPr>
          <w:color w:val="221F1F"/>
        </w:rPr>
      </w:pPr>
      <w:proofErr w:type="gramStart"/>
      <w:r w:rsidRPr="004371C0">
        <w:rPr>
          <w:color w:val="221F1F"/>
        </w:rPr>
        <w:t>Sodium hydroxide (acidic pop), Potassium hydroxide (Channel cleaners, fades, stove cleaners, some non-phosphate cleansers, modern paint strippers), Sodium hypochlorite, Calcium hydroxide (Some family dyes).</w:t>
      </w:r>
      <w:proofErr w:type="gramEnd"/>
    </w:p>
    <w:p w:rsidR="004371C0" w:rsidRPr="004371C0" w:rsidRDefault="004371C0" w:rsidP="004371C0">
      <w:pPr>
        <w:pStyle w:val="BodyText"/>
        <w:spacing w:before="87" w:line="340" w:lineRule="auto"/>
        <w:ind w:right="26" w:firstLine="540"/>
        <w:jc w:val="both"/>
        <w:rPr>
          <w:color w:val="221F1F"/>
        </w:rPr>
      </w:pPr>
      <w:r w:rsidRPr="004371C0">
        <w:rPr>
          <w:color w:val="221F1F"/>
        </w:rPr>
        <w:t>Essentially in fluid dishwasher items (</w:t>
      </w:r>
      <w:proofErr w:type="spellStart"/>
      <w:r w:rsidRPr="004371C0">
        <w:rPr>
          <w:color w:val="221F1F"/>
        </w:rPr>
        <w:t>Christesen</w:t>
      </w:r>
      <w:proofErr w:type="spellEnd"/>
      <w:r w:rsidRPr="004371C0">
        <w:rPr>
          <w:color w:val="221F1F"/>
        </w:rPr>
        <w:t>, 1995).</w:t>
      </w:r>
    </w:p>
    <w:p w:rsidR="004371C0" w:rsidRPr="004371C0" w:rsidRDefault="004371C0" w:rsidP="004371C0">
      <w:pPr>
        <w:pStyle w:val="BodyText"/>
        <w:spacing w:before="87" w:line="340" w:lineRule="auto"/>
        <w:ind w:right="26" w:firstLine="540"/>
        <w:jc w:val="both"/>
        <w:rPr>
          <w:color w:val="221F1F"/>
        </w:rPr>
      </w:pPr>
      <w:r w:rsidRPr="004371C0">
        <w:rPr>
          <w:color w:val="221F1F"/>
        </w:rPr>
        <w:t>Antacid Ingestion:</w:t>
      </w:r>
    </w:p>
    <w:p w:rsidR="004371C0" w:rsidRPr="004371C0" w:rsidRDefault="004371C0" w:rsidP="004371C0">
      <w:pPr>
        <w:pStyle w:val="BodyText"/>
        <w:spacing w:before="87" w:line="340" w:lineRule="auto"/>
        <w:ind w:right="26" w:firstLine="540"/>
        <w:jc w:val="both"/>
        <w:rPr>
          <w:color w:val="221F1F"/>
        </w:rPr>
      </w:pPr>
      <w:r w:rsidRPr="004371C0">
        <w:rPr>
          <w:color w:val="221F1F"/>
        </w:rPr>
        <w:t>Models: Smelling salts, Baking pop - sodium bicarbonate, Washing pop - sodium carbonate, Cleanser.</w:t>
      </w:r>
    </w:p>
    <w:p w:rsidR="004371C0" w:rsidRPr="004371C0" w:rsidRDefault="004371C0" w:rsidP="004371C0">
      <w:pPr>
        <w:pStyle w:val="BodyText"/>
        <w:spacing w:before="87" w:line="340" w:lineRule="auto"/>
        <w:ind w:right="26" w:firstLine="540"/>
        <w:jc w:val="both"/>
        <w:rPr>
          <w:color w:val="221F1F"/>
        </w:rPr>
      </w:pPr>
      <w:r w:rsidRPr="004371C0">
        <w:rPr>
          <w:color w:val="221F1F"/>
        </w:rPr>
        <w:t>Can cause three modalities of injury: Aviation route and facial consumes, Esophageal or gastrointestinal consumes, or Sprinkle wounds (</w:t>
      </w:r>
      <w:proofErr w:type="spellStart"/>
      <w:r w:rsidRPr="004371C0">
        <w:rPr>
          <w:color w:val="221F1F"/>
        </w:rPr>
        <w:t>Christesen</w:t>
      </w:r>
      <w:proofErr w:type="spellEnd"/>
      <w:r w:rsidRPr="004371C0">
        <w:rPr>
          <w:color w:val="221F1F"/>
        </w:rPr>
        <w:t xml:space="preserve">, 1995; </w:t>
      </w:r>
      <w:proofErr w:type="spellStart"/>
      <w:r w:rsidRPr="004371C0">
        <w:rPr>
          <w:color w:val="221F1F"/>
        </w:rPr>
        <w:t>Johlubl</w:t>
      </w:r>
      <w:proofErr w:type="spellEnd"/>
      <w:r w:rsidRPr="004371C0">
        <w:rPr>
          <w:color w:val="221F1F"/>
        </w:rPr>
        <w:t xml:space="preserve"> and Matthew, 2009).</w:t>
      </w:r>
    </w:p>
    <w:p w:rsidR="004371C0" w:rsidRPr="004371C0" w:rsidRDefault="004371C0" w:rsidP="004371C0">
      <w:pPr>
        <w:pStyle w:val="BodyText"/>
        <w:spacing w:before="87" w:line="340" w:lineRule="auto"/>
        <w:ind w:right="26" w:firstLine="540"/>
        <w:jc w:val="both"/>
        <w:rPr>
          <w:color w:val="221F1F"/>
        </w:rPr>
      </w:pPr>
      <w:r w:rsidRPr="004371C0">
        <w:rPr>
          <w:color w:val="221F1F"/>
        </w:rPr>
        <w:t>Acidic Ingestion:</w:t>
      </w:r>
    </w:p>
    <w:p w:rsidR="004371C0" w:rsidRPr="004371C0" w:rsidRDefault="004371C0" w:rsidP="004371C0">
      <w:pPr>
        <w:pStyle w:val="BodyText"/>
        <w:spacing w:before="87" w:line="340" w:lineRule="auto"/>
        <w:ind w:right="26" w:firstLine="540"/>
        <w:jc w:val="both"/>
        <w:rPr>
          <w:color w:val="221F1F"/>
        </w:rPr>
      </w:pPr>
      <w:r w:rsidRPr="004371C0">
        <w:rPr>
          <w:color w:val="221F1F"/>
        </w:rPr>
        <w:lastRenderedPageBreak/>
        <w:t xml:space="preserve">Models: Vinegar (powerless acidic corrosive), Lemon juice (citrus extract, some ascorbic corrosive), </w:t>
      </w:r>
      <w:proofErr w:type="gramStart"/>
      <w:r w:rsidRPr="004371C0">
        <w:rPr>
          <w:color w:val="221F1F"/>
        </w:rPr>
        <w:t>Any</w:t>
      </w:r>
      <w:proofErr w:type="gramEnd"/>
      <w:r w:rsidRPr="004371C0">
        <w:rPr>
          <w:color w:val="221F1F"/>
        </w:rPr>
        <w:t xml:space="preserve"> citrus organic product (citrus extract, some ascorbic corrosive), Sulfuric acid (sulfuric corrosive), Anti-</w:t>
      </w:r>
      <w:proofErr w:type="spellStart"/>
      <w:r w:rsidRPr="004371C0">
        <w:rPr>
          <w:color w:val="221F1F"/>
        </w:rPr>
        <w:t>inflamatory</w:t>
      </w:r>
      <w:proofErr w:type="spellEnd"/>
      <w:r w:rsidRPr="004371C0">
        <w:rPr>
          <w:color w:val="221F1F"/>
        </w:rPr>
        <w:t xml:space="preserve"> medicine (acetylsalicylic corrosive), Muriatic corrosive (hydrochloric corrosive).</w:t>
      </w:r>
    </w:p>
    <w:p w:rsidR="004371C0" w:rsidRDefault="004371C0" w:rsidP="004371C0">
      <w:pPr>
        <w:pStyle w:val="BodyText"/>
        <w:spacing w:before="87" w:line="340" w:lineRule="auto"/>
        <w:ind w:right="26" w:firstLine="540"/>
        <w:jc w:val="both"/>
        <w:rPr>
          <w:color w:val="221F1F"/>
        </w:rPr>
      </w:pPr>
      <w:r w:rsidRPr="004371C0">
        <w:rPr>
          <w:color w:val="221F1F"/>
        </w:rPr>
        <w:t>Is the second most normal reason for burning ingestion after salt (</w:t>
      </w:r>
      <w:proofErr w:type="spellStart"/>
      <w:r w:rsidRPr="004371C0">
        <w:rPr>
          <w:color w:val="221F1F"/>
        </w:rPr>
        <w:t>Refaeey</w:t>
      </w:r>
      <w:proofErr w:type="spellEnd"/>
      <w:r w:rsidRPr="004371C0">
        <w:rPr>
          <w:color w:val="221F1F"/>
        </w:rPr>
        <w:t xml:space="preserve"> et al., 2016)</w:t>
      </w:r>
      <w:proofErr w:type="gramStart"/>
      <w:r w:rsidRPr="004371C0">
        <w:rPr>
          <w:color w:val="221F1F"/>
        </w:rPr>
        <w:t>.</w:t>
      </w:r>
      <w:proofErr w:type="gramEnd"/>
    </w:p>
    <w:p w:rsidR="000E1DAD" w:rsidRPr="00F472C3" w:rsidRDefault="000E1DAD" w:rsidP="004371C0">
      <w:pPr>
        <w:pStyle w:val="BodyText"/>
        <w:spacing w:before="87" w:line="340" w:lineRule="auto"/>
        <w:ind w:right="26" w:firstLine="540"/>
        <w:jc w:val="both"/>
        <w:rPr>
          <w:color w:val="221F1F"/>
        </w:rPr>
      </w:pPr>
    </w:p>
    <w:p w:rsidR="0058232C" w:rsidRDefault="0058232C" w:rsidP="0058232C">
      <w:pPr>
        <w:bidi w:val="0"/>
        <w:spacing w:line="360" w:lineRule="auto"/>
        <w:ind w:firstLine="720"/>
        <w:jc w:val="lowKashida"/>
        <w:rPr>
          <w:rFonts w:asciiTheme="majorBidi" w:hAnsiTheme="majorBidi" w:cstheme="majorBidi"/>
          <w:sz w:val="28"/>
          <w:szCs w:val="28"/>
        </w:rPr>
      </w:pPr>
    </w:p>
    <w:p w:rsidR="00F472C3" w:rsidRDefault="00F472C3" w:rsidP="00F472C3">
      <w:pPr>
        <w:bidi w:val="0"/>
        <w:spacing w:line="360" w:lineRule="auto"/>
        <w:ind w:firstLine="720"/>
        <w:jc w:val="lowKashida"/>
        <w:rPr>
          <w:rFonts w:asciiTheme="majorBidi" w:hAnsiTheme="majorBidi" w:cstheme="majorBidi"/>
          <w:sz w:val="28"/>
          <w:szCs w:val="28"/>
        </w:rPr>
      </w:pPr>
    </w:p>
    <w:p w:rsidR="00F472C3" w:rsidRDefault="00F472C3" w:rsidP="00F472C3">
      <w:pPr>
        <w:bidi w:val="0"/>
        <w:spacing w:line="360" w:lineRule="auto"/>
        <w:ind w:firstLine="720"/>
        <w:jc w:val="lowKashida"/>
        <w:rPr>
          <w:rFonts w:asciiTheme="majorBidi" w:hAnsiTheme="majorBidi" w:cstheme="majorBidi"/>
          <w:sz w:val="28"/>
          <w:szCs w:val="28"/>
        </w:rPr>
      </w:pPr>
    </w:p>
    <w:p w:rsidR="00610F79" w:rsidRDefault="00610F79" w:rsidP="00F472C3">
      <w:pPr>
        <w:bidi w:val="0"/>
        <w:spacing w:line="360" w:lineRule="auto"/>
        <w:ind w:firstLine="720"/>
        <w:jc w:val="lowKashida"/>
        <w:rPr>
          <w:rFonts w:asciiTheme="majorBidi" w:hAnsiTheme="majorBidi" w:cstheme="majorBidi"/>
          <w:sz w:val="28"/>
          <w:szCs w:val="28"/>
        </w:rPr>
        <w:sectPr w:rsidR="00610F79" w:rsidSect="004371C0">
          <w:headerReference w:type="default" r:id="rId23"/>
          <w:pgSz w:w="11906" w:h="16838"/>
          <w:pgMar w:top="1440" w:right="1440" w:bottom="1440" w:left="1440" w:header="708" w:footer="708" w:gutter="0"/>
          <w:cols w:space="708"/>
          <w:bidi/>
          <w:rtlGutter/>
          <w:docGrid w:linePitch="360"/>
        </w:sectPr>
      </w:pPr>
    </w:p>
    <w:p w:rsidR="0092311A" w:rsidRDefault="0092311A" w:rsidP="00610F79">
      <w:pPr>
        <w:bidi w:val="0"/>
        <w:spacing w:line="360" w:lineRule="auto"/>
        <w:jc w:val="center"/>
        <w:rPr>
          <w:rFonts w:asciiTheme="majorBidi" w:hAnsiTheme="majorBidi" w:cstheme="majorBidi"/>
          <w:b/>
          <w:bCs/>
          <w:sz w:val="40"/>
          <w:szCs w:val="40"/>
        </w:rPr>
      </w:pPr>
      <w:r>
        <w:rPr>
          <w:rFonts w:asciiTheme="majorBidi" w:hAnsiTheme="majorBidi" w:cstheme="majorBidi"/>
          <w:b/>
          <w:bCs/>
          <w:sz w:val="40"/>
          <w:szCs w:val="40"/>
        </w:rPr>
        <w:lastRenderedPageBreak/>
        <w:t>Chapter (2)</w:t>
      </w:r>
    </w:p>
    <w:p w:rsidR="0092311A" w:rsidRDefault="00F472C3" w:rsidP="00F472C3">
      <w:pPr>
        <w:bidi w:val="0"/>
        <w:spacing w:line="360" w:lineRule="auto"/>
        <w:jc w:val="center"/>
        <w:rPr>
          <w:rFonts w:asciiTheme="majorBidi" w:hAnsiTheme="majorBidi" w:cstheme="majorBidi"/>
          <w:b/>
          <w:bCs/>
          <w:sz w:val="40"/>
          <w:szCs w:val="40"/>
        </w:rPr>
      </w:pPr>
      <w:r w:rsidRPr="00F472C3">
        <w:rPr>
          <w:rFonts w:asciiTheme="majorBidi" w:hAnsiTheme="majorBidi" w:cstheme="majorBidi"/>
          <w:b/>
          <w:bCs/>
          <w:sz w:val="40"/>
          <w:szCs w:val="40"/>
        </w:rPr>
        <w:t>Pediatric Drug Poisoning</w:t>
      </w:r>
    </w:p>
    <w:p w:rsidR="002446D5" w:rsidRPr="002446D5" w:rsidRDefault="002446D5" w:rsidP="002446D5">
      <w:pPr>
        <w:pStyle w:val="BodyText"/>
        <w:spacing w:before="87" w:line="340" w:lineRule="auto"/>
        <w:ind w:right="26" w:firstLine="540"/>
        <w:jc w:val="both"/>
        <w:rPr>
          <w:color w:val="221F1F"/>
        </w:rPr>
      </w:pPr>
      <w:r w:rsidRPr="002446D5">
        <w:rPr>
          <w:color w:val="221F1F"/>
        </w:rPr>
        <w:t>The substances most often associated with pediatric (≤5 year sold) openings are beauty care products, individual consideration items, family cleaning items, analgesics, unfamiliar bodies, toys, incidental, and dietary enhancements/herbals/homeopathic cures (</w:t>
      </w:r>
      <w:proofErr w:type="spellStart"/>
      <w:r w:rsidRPr="002446D5">
        <w:rPr>
          <w:color w:val="221F1F"/>
        </w:rPr>
        <w:t>Gummin</w:t>
      </w:r>
      <w:proofErr w:type="spellEnd"/>
      <w:r w:rsidRPr="002446D5">
        <w:rPr>
          <w:color w:val="221F1F"/>
        </w:rPr>
        <w:t xml:space="preserve"> et al., 2021). Ingestions of over-the-counter hack and cold medications among the populace small kids declined in frequency after the names of these items were updated to caution against use in youngsters more youthful than four years (Hampton et al., 2016; </w:t>
      </w:r>
      <w:proofErr w:type="spellStart"/>
      <w:r w:rsidRPr="002446D5">
        <w:rPr>
          <w:color w:val="221F1F"/>
        </w:rPr>
        <w:t>Mazer-Amirshahi</w:t>
      </w:r>
      <w:proofErr w:type="spellEnd"/>
      <w:r w:rsidRPr="002446D5">
        <w:rPr>
          <w:color w:val="221F1F"/>
        </w:rPr>
        <w:t xml:space="preserve"> et al., 2013).</w:t>
      </w: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Youngster self-ingestion of drug specialists expanded somewhere in the range of 2004 and 2010 with the rising accessibility of professionally prescribed prescriptions however diminished somewhere in the range of 2010 and 2013 (Bond et al., 2012; </w:t>
      </w:r>
      <w:proofErr w:type="spellStart"/>
      <w:r w:rsidRPr="002446D5">
        <w:rPr>
          <w:color w:val="221F1F"/>
        </w:rPr>
        <w:t>Burghardt</w:t>
      </w:r>
      <w:proofErr w:type="spellEnd"/>
      <w:r w:rsidRPr="002446D5">
        <w:rPr>
          <w:color w:val="221F1F"/>
        </w:rPr>
        <w:t xml:space="preserve"> et al. 2013; </w:t>
      </w:r>
      <w:proofErr w:type="spellStart"/>
      <w:r w:rsidRPr="002446D5">
        <w:rPr>
          <w:color w:val="221F1F"/>
        </w:rPr>
        <w:t>Lovegrove</w:t>
      </w:r>
      <w:proofErr w:type="spellEnd"/>
      <w:r w:rsidRPr="002446D5">
        <w:rPr>
          <w:color w:val="221F1F"/>
        </w:rPr>
        <w:t xml:space="preserve"> et al., 2015). Somewhere in the range of 2007 and 2011, it is assessed that almost 9500 youngsters more youthful than six years were hospitalized every year for solo ingestion of professionally prescribed meds in the US, with narcotics, particularly buprenorphine, being the most well-known guilty party (</w:t>
      </w:r>
      <w:proofErr w:type="spellStart"/>
      <w:r w:rsidRPr="002446D5">
        <w:rPr>
          <w:color w:val="221F1F"/>
        </w:rPr>
        <w:t>Lovegrove</w:t>
      </w:r>
      <w:proofErr w:type="spellEnd"/>
      <w:r w:rsidRPr="002446D5">
        <w:rPr>
          <w:color w:val="221F1F"/>
        </w:rPr>
        <w:t xml:space="preserve"> et al., 2014).</w:t>
      </w:r>
    </w:p>
    <w:p w:rsidR="002446D5" w:rsidRPr="002446D5" w:rsidRDefault="002446D5" w:rsidP="002446D5">
      <w:pPr>
        <w:pStyle w:val="BodyText"/>
        <w:spacing w:before="87" w:line="340" w:lineRule="auto"/>
        <w:ind w:right="26" w:firstLine="540"/>
        <w:jc w:val="both"/>
        <w:rPr>
          <w:color w:val="221F1F"/>
        </w:rPr>
      </w:pPr>
      <w:r w:rsidRPr="002446D5">
        <w:rPr>
          <w:color w:val="221F1F"/>
        </w:rPr>
        <w:t>Among youngsters with unaided drug openness, narcotics and benzodiazepines were the most ordinarily ingested solution solids; acetaminophen, hack and cold cures, ibuprofen, and diphenhydramine were the most regularly ingested fluid non-prescription meds (</w:t>
      </w:r>
      <w:proofErr w:type="spellStart"/>
      <w:r w:rsidRPr="002446D5">
        <w:rPr>
          <w:color w:val="221F1F"/>
        </w:rPr>
        <w:t>Lovegrove</w:t>
      </w:r>
      <w:proofErr w:type="spellEnd"/>
      <w:r w:rsidRPr="002446D5">
        <w:rPr>
          <w:color w:val="221F1F"/>
        </w:rPr>
        <w:t xml:space="preserve"> et al., 2015). Kid self-openness to illegal medications (</w:t>
      </w:r>
      <w:proofErr w:type="spellStart"/>
      <w:r w:rsidRPr="002446D5">
        <w:rPr>
          <w:color w:val="221F1F"/>
        </w:rPr>
        <w:t>eg</w:t>
      </w:r>
      <w:proofErr w:type="spellEnd"/>
      <w:r w:rsidRPr="002446D5">
        <w:rPr>
          <w:color w:val="221F1F"/>
        </w:rPr>
        <w:t>, weed, methamphetamines) and electronic cigarettes additionally gives off an impression of being expanding (Graham et al., 2020).</w:t>
      </w: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The classes of substances most often engaged with fatalities in kids ≤5 years old during 2020 included analgesics, exhaust/gases/fumes (fundamentally </w:t>
      </w:r>
      <w:r w:rsidRPr="002446D5">
        <w:rPr>
          <w:color w:val="221F1F"/>
        </w:rPr>
        <w:lastRenderedPageBreak/>
        <w:t>carbon monoxide), cardiovascular medications, batteries, and synthetic compounds (</w:t>
      </w:r>
      <w:proofErr w:type="spellStart"/>
      <w:r w:rsidRPr="002446D5">
        <w:rPr>
          <w:color w:val="221F1F"/>
        </w:rPr>
        <w:t>Gummin</w:t>
      </w:r>
      <w:proofErr w:type="spellEnd"/>
      <w:r w:rsidRPr="002446D5">
        <w:rPr>
          <w:color w:val="221F1F"/>
        </w:rPr>
        <w:t xml:space="preserve"> et al., 2021)</w:t>
      </w:r>
    </w:p>
    <w:p w:rsidR="002446D5" w:rsidRPr="002446D5" w:rsidRDefault="002446D5" w:rsidP="002446D5">
      <w:pPr>
        <w:pStyle w:val="BodyText"/>
        <w:spacing w:before="87" w:line="340" w:lineRule="auto"/>
        <w:ind w:right="26" w:firstLine="540"/>
        <w:jc w:val="both"/>
        <w:rPr>
          <w:color w:val="221F1F"/>
        </w:rPr>
      </w:pPr>
      <w:r w:rsidRPr="002446D5">
        <w:rPr>
          <w:color w:val="221F1F"/>
        </w:rPr>
        <w:t>The "peril factor" is an action that was concocted to impartially survey the harming danger of different items in view of the possible intense harmfulness of individual fixings and the recurrence and degree of wounds following genuine openings (</w:t>
      </w:r>
      <w:proofErr w:type="spellStart"/>
      <w:r w:rsidRPr="002446D5">
        <w:rPr>
          <w:color w:val="221F1F"/>
        </w:rPr>
        <w:t>Litovitz</w:t>
      </w:r>
      <w:proofErr w:type="spellEnd"/>
      <w:r w:rsidRPr="002446D5">
        <w:rPr>
          <w:color w:val="221F1F"/>
        </w:rPr>
        <w:t xml:space="preserve"> et al., 1992). It was inferred through examination of more than 3.8 million openings that were accounted for to the AAPCC from 1985 through 1989 among kids more youthful than six years. In this examination, huge dangers were restricted to a couple of items. These included:</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Iron harmfulness</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Antidepressants (Tricyclic antidepressants)</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Cardiovascular meds (Digitalis, Beta blockers, and Calcium channel blockers)</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Methyl salicylate</w:t>
      </w:r>
    </w:p>
    <w:p w:rsidR="002446D5" w:rsidRPr="002446D5" w:rsidRDefault="002446D5" w:rsidP="002446D5">
      <w:pPr>
        <w:pStyle w:val="BodyText"/>
        <w:spacing w:before="87" w:line="340" w:lineRule="auto"/>
        <w:ind w:right="26" w:firstLine="540"/>
        <w:jc w:val="both"/>
        <w:rPr>
          <w:color w:val="221F1F"/>
          <w:rtl/>
        </w:rPr>
      </w:pP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Extra unambiguous items have been distinguished as causing extreme side effects or demise in kids with ingestion of just a limited quantity (Henry and Harris, 2006; Michael and </w:t>
      </w:r>
      <w:proofErr w:type="spellStart"/>
      <w:r w:rsidRPr="002446D5">
        <w:rPr>
          <w:color w:val="221F1F"/>
        </w:rPr>
        <w:t>Sztajnkrycer</w:t>
      </w:r>
      <w:proofErr w:type="spellEnd"/>
      <w:r w:rsidRPr="002446D5">
        <w:rPr>
          <w:color w:val="221F1F"/>
        </w:rPr>
        <w:t>, 2004). These incorporated the accompanying:</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Sulfonylureas</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Calcium channel blockers</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Harmful alcohols (Ethanol, Methanol, Ethylene glycol, and Isopropyl liquor)</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Clonidine</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Narcotics</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Fluid nicotine</w:t>
      </w:r>
    </w:p>
    <w:p w:rsidR="002446D5" w:rsidRPr="002446D5" w:rsidRDefault="002446D5" w:rsidP="002446D5">
      <w:pPr>
        <w:pStyle w:val="BodyText"/>
        <w:spacing w:before="87" w:line="340" w:lineRule="auto"/>
        <w:ind w:right="26" w:firstLine="540"/>
        <w:jc w:val="both"/>
        <w:rPr>
          <w:color w:val="221F1F"/>
          <w:rtl/>
        </w:rPr>
      </w:pPr>
    </w:p>
    <w:p w:rsidR="00F472C3" w:rsidRPr="004371C0" w:rsidRDefault="002446D5" w:rsidP="002446D5">
      <w:pPr>
        <w:pStyle w:val="BodyText"/>
        <w:spacing w:before="87" w:line="340" w:lineRule="auto"/>
        <w:ind w:right="26" w:firstLine="540"/>
        <w:jc w:val="both"/>
        <w:rPr>
          <w:color w:val="221F1F"/>
        </w:rPr>
      </w:pPr>
      <w:r w:rsidRPr="002446D5">
        <w:rPr>
          <w:color w:val="221F1F"/>
        </w:rPr>
        <w:t>Deadly prescriptions to youngsters can be isolated by dosages (Table 1).</w:t>
      </w:r>
    </w:p>
    <w:p w:rsidR="00F472C3" w:rsidRPr="00F472C3" w:rsidRDefault="00F472C3" w:rsidP="00F472C3">
      <w:pPr>
        <w:pStyle w:val="BodyText"/>
        <w:spacing w:before="87" w:line="360" w:lineRule="auto"/>
        <w:ind w:left="230" w:right="823"/>
        <w:jc w:val="both"/>
        <w:rPr>
          <w:rFonts w:asciiTheme="majorBidi" w:hAnsiTheme="majorBidi" w:cstheme="majorBidi"/>
          <w:color w:val="221F1F"/>
        </w:rPr>
      </w:pPr>
    </w:p>
    <w:p w:rsidR="00F472C3" w:rsidRPr="00F472C3" w:rsidRDefault="00F472C3" w:rsidP="00F472C3">
      <w:pPr>
        <w:bidi w:val="0"/>
        <w:spacing w:line="360" w:lineRule="auto"/>
        <w:jc w:val="both"/>
        <w:rPr>
          <w:rFonts w:asciiTheme="majorBidi" w:hAnsiTheme="majorBidi" w:cstheme="majorBidi"/>
          <w:sz w:val="28"/>
          <w:szCs w:val="28"/>
          <w:lang w:bidi="ar-EG"/>
        </w:rPr>
      </w:pPr>
      <w:proofErr w:type="gramStart"/>
      <w:r w:rsidRPr="00F472C3">
        <w:rPr>
          <w:rFonts w:asciiTheme="majorBidi" w:hAnsiTheme="majorBidi" w:cstheme="majorBidi"/>
          <w:bCs/>
          <w:sz w:val="28"/>
          <w:szCs w:val="28"/>
          <w:lang w:bidi="ar-EG"/>
        </w:rPr>
        <w:t>Table 1.</w:t>
      </w:r>
      <w:proofErr w:type="gramEnd"/>
      <w:r w:rsidRPr="00F472C3">
        <w:rPr>
          <w:rFonts w:asciiTheme="majorBidi" w:hAnsiTheme="majorBidi" w:cstheme="majorBidi"/>
          <w:bCs/>
          <w:sz w:val="28"/>
          <w:szCs w:val="28"/>
          <w:lang w:bidi="ar-EG"/>
        </w:rPr>
        <w:t xml:space="preserve"> Medications and toxins potentially fatal to toddler in one or two doses (</w:t>
      </w:r>
      <w:r w:rsidRPr="00F472C3">
        <w:rPr>
          <w:rFonts w:asciiTheme="majorBidi" w:hAnsiTheme="majorBidi" w:cstheme="majorBidi"/>
          <w:b/>
          <w:sz w:val="28"/>
          <w:szCs w:val="28"/>
          <w:lang w:bidi="ar-EG"/>
        </w:rPr>
        <w:t xml:space="preserve">Bassett et al., 2014; Baumgartner et al., 2020; Henry, 2006; </w:t>
      </w:r>
      <w:proofErr w:type="spellStart"/>
      <w:r w:rsidRPr="00F472C3">
        <w:rPr>
          <w:rFonts w:asciiTheme="majorBidi" w:hAnsiTheme="majorBidi" w:cstheme="majorBidi"/>
          <w:b/>
          <w:sz w:val="28"/>
          <w:szCs w:val="28"/>
          <w:lang w:bidi="ar-EG"/>
        </w:rPr>
        <w:t>Koren</w:t>
      </w:r>
      <w:proofErr w:type="spellEnd"/>
      <w:r w:rsidRPr="00F472C3">
        <w:rPr>
          <w:rFonts w:asciiTheme="majorBidi" w:hAnsiTheme="majorBidi" w:cstheme="majorBidi"/>
          <w:b/>
          <w:sz w:val="28"/>
          <w:szCs w:val="28"/>
          <w:lang w:bidi="ar-EG"/>
        </w:rPr>
        <w:t xml:space="preserve">, 1993; </w:t>
      </w:r>
      <w:proofErr w:type="spellStart"/>
      <w:r w:rsidRPr="00F472C3">
        <w:rPr>
          <w:rFonts w:asciiTheme="majorBidi" w:hAnsiTheme="majorBidi" w:cstheme="majorBidi"/>
          <w:b/>
          <w:bCs/>
          <w:sz w:val="28"/>
          <w:szCs w:val="28"/>
          <w:lang w:bidi="ar-EG"/>
        </w:rPr>
        <w:t>Liebelt</w:t>
      </w:r>
      <w:proofErr w:type="spellEnd"/>
      <w:r w:rsidRPr="00F472C3">
        <w:rPr>
          <w:rFonts w:asciiTheme="majorBidi" w:hAnsiTheme="majorBidi" w:cstheme="majorBidi"/>
          <w:b/>
          <w:bCs/>
          <w:sz w:val="28"/>
          <w:szCs w:val="28"/>
          <w:lang w:bidi="ar-EG"/>
        </w:rPr>
        <w:t xml:space="preserve"> &amp; Shannon, 1993; Michael &amp; </w:t>
      </w:r>
      <w:proofErr w:type="spellStart"/>
      <w:r w:rsidRPr="00F472C3">
        <w:rPr>
          <w:rFonts w:asciiTheme="majorBidi" w:hAnsiTheme="majorBidi" w:cstheme="majorBidi"/>
          <w:b/>
          <w:bCs/>
          <w:sz w:val="28"/>
          <w:szCs w:val="28"/>
          <w:lang w:bidi="ar-EG"/>
        </w:rPr>
        <w:t>Sztajnkrycer</w:t>
      </w:r>
      <w:proofErr w:type="spellEnd"/>
      <w:r w:rsidRPr="00F472C3">
        <w:rPr>
          <w:rFonts w:asciiTheme="majorBidi" w:hAnsiTheme="majorBidi" w:cstheme="majorBidi"/>
          <w:b/>
          <w:bCs/>
          <w:sz w:val="28"/>
          <w:szCs w:val="28"/>
          <w:lang w:bidi="ar-EG"/>
        </w:rPr>
        <w:t xml:space="preserve">, 2004; </w:t>
      </w:r>
      <w:proofErr w:type="spellStart"/>
      <w:r w:rsidRPr="00F472C3">
        <w:rPr>
          <w:rFonts w:asciiTheme="majorBidi" w:hAnsiTheme="majorBidi" w:cstheme="majorBidi"/>
          <w:b/>
          <w:bCs/>
          <w:sz w:val="28"/>
          <w:szCs w:val="28"/>
          <w:lang w:bidi="ar-EG"/>
        </w:rPr>
        <w:t>Osterhoudt</w:t>
      </w:r>
      <w:proofErr w:type="spellEnd"/>
      <w:r w:rsidRPr="00F472C3">
        <w:rPr>
          <w:rFonts w:asciiTheme="majorBidi" w:hAnsiTheme="majorBidi" w:cstheme="majorBidi"/>
          <w:b/>
          <w:bCs/>
          <w:sz w:val="28"/>
          <w:szCs w:val="28"/>
          <w:lang w:bidi="ar-EG"/>
        </w:rPr>
        <w:t>, 2000</w:t>
      </w:r>
      <w:r w:rsidRPr="00F472C3">
        <w:rPr>
          <w:rFonts w:asciiTheme="majorBidi" w:hAnsiTheme="majorBidi" w:cstheme="majorBidi"/>
          <w:sz w:val="28"/>
          <w:szCs w:val="28"/>
          <w:lang w:bidi="ar-EG"/>
        </w:rPr>
        <w:t>)</w:t>
      </w:r>
    </w:p>
    <w:tbl>
      <w:tblPr>
        <w:tblStyle w:val="TableGrid"/>
        <w:tblW w:w="5000" w:type="pct"/>
        <w:tblLook w:val="04A0" w:firstRow="1" w:lastRow="0" w:firstColumn="1" w:lastColumn="0" w:noHBand="0" w:noVBand="1"/>
      </w:tblPr>
      <w:tblGrid>
        <w:gridCol w:w="3034"/>
        <w:gridCol w:w="2272"/>
        <w:gridCol w:w="3936"/>
      </w:tblGrid>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Drug</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Minimum fatal dose</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Major effects</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Benzocaine</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&lt;20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proofErr w:type="spellStart"/>
            <w:r w:rsidRPr="00F472C3">
              <w:rPr>
                <w:rFonts w:asciiTheme="majorBidi" w:hAnsiTheme="majorBidi" w:cstheme="majorBidi"/>
                <w:bCs/>
                <w:sz w:val="28"/>
                <w:szCs w:val="28"/>
                <w:lang w:bidi="ar-EG"/>
              </w:rPr>
              <w:t>Methemoglobinemia</w:t>
            </w:r>
            <w:proofErr w:type="spellEnd"/>
            <w:r w:rsidRPr="00F472C3">
              <w:rPr>
                <w:rFonts w:asciiTheme="majorBidi" w:hAnsiTheme="majorBidi" w:cstheme="majorBidi"/>
                <w:bCs/>
                <w:sz w:val="28"/>
                <w:szCs w:val="28"/>
                <w:lang w:bidi="ar-EG"/>
              </w:rPr>
              <w:t>, seizures</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Beta blockers</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Unclear</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 xml:space="preserve">Seizures, hypoglycemia, </w:t>
            </w:r>
            <w:proofErr w:type="spellStart"/>
            <w:r w:rsidRPr="00F472C3">
              <w:rPr>
                <w:rFonts w:asciiTheme="majorBidi" w:hAnsiTheme="majorBidi" w:cstheme="majorBidi"/>
                <w:bCs/>
                <w:sz w:val="28"/>
                <w:szCs w:val="28"/>
                <w:lang w:bidi="ar-EG"/>
              </w:rPr>
              <w:t>bradycardia</w:t>
            </w:r>
            <w:proofErr w:type="spellEnd"/>
            <w:r w:rsidRPr="00F472C3">
              <w:rPr>
                <w:rFonts w:asciiTheme="majorBidi" w:hAnsiTheme="majorBidi" w:cstheme="majorBidi"/>
                <w:bCs/>
                <w:sz w:val="28"/>
                <w:szCs w:val="28"/>
                <w:lang w:bidi="ar-EG"/>
              </w:rPr>
              <w:t>, hypotension</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Calcium antagonists</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&lt;40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proofErr w:type="spellStart"/>
            <w:r w:rsidRPr="00F472C3">
              <w:rPr>
                <w:rFonts w:asciiTheme="majorBidi" w:hAnsiTheme="majorBidi" w:cstheme="majorBidi"/>
                <w:bCs/>
                <w:sz w:val="28"/>
                <w:szCs w:val="28"/>
                <w:lang w:bidi="ar-EG"/>
              </w:rPr>
              <w:t>Bradycardia</w:t>
            </w:r>
            <w:proofErr w:type="spellEnd"/>
            <w:r w:rsidRPr="00F472C3">
              <w:rPr>
                <w:rFonts w:asciiTheme="majorBidi" w:hAnsiTheme="majorBidi" w:cstheme="majorBidi"/>
                <w:bCs/>
                <w:sz w:val="28"/>
                <w:szCs w:val="28"/>
                <w:lang w:bidi="ar-EG"/>
              </w:rPr>
              <w:t>, hypotension</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Camphor</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Approximately 50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Seizures, CNS depression, respiratory depression</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proofErr w:type="spellStart"/>
            <w:r w:rsidRPr="00F472C3">
              <w:rPr>
                <w:rFonts w:asciiTheme="majorBidi" w:hAnsiTheme="majorBidi" w:cstheme="majorBidi"/>
                <w:bCs/>
                <w:sz w:val="28"/>
                <w:szCs w:val="28"/>
                <w:lang w:bidi="ar-EG"/>
              </w:rPr>
              <w:t>Chloroquine</w:t>
            </w:r>
            <w:proofErr w:type="spellEnd"/>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&lt;30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Seizures, arrhythmias</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Clonidine</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Unclear</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proofErr w:type="spellStart"/>
            <w:r w:rsidRPr="00F472C3">
              <w:rPr>
                <w:rFonts w:asciiTheme="majorBidi" w:hAnsiTheme="majorBidi" w:cstheme="majorBidi"/>
                <w:bCs/>
                <w:sz w:val="28"/>
                <w:szCs w:val="28"/>
                <w:lang w:bidi="ar-EG"/>
              </w:rPr>
              <w:t>Bradycardia</w:t>
            </w:r>
            <w:proofErr w:type="spellEnd"/>
            <w:r w:rsidRPr="00F472C3">
              <w:rPr>
                <w:rFonts w:asciiTheme="majorBidi" w:hAnsiTheme="majorBidi" w:cstheme="majorBidi"/>
                <w:bCs/>
                <w:sz w:val="28"/>
                <w:szCs w:val="28"/>
                <w:lang w:bidi="ar-EG"/>
              </w:rPr>
              <w:t>, hypotension, CNS depression</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proofErr w:type="spellStart"/>
            <w:r w:rsidRPr="00F472C3">
              <w:rPr>
                <w:rFonts w:asciiTheme="majorBidi" w:hAnsiTheme="majorBidi" w:cstheme="majorBidi"/>
                <w:bCs/>
                <w:sz w:val="28"/>
                <w:szCs w:val="28"/>
                <w:lang w:bidi="ar-EG"/>
              </w:rPr>
              <w:t>Diphenoxylate</w:t>
            </w:r>
            <w:proofErr w:type="spellEnd"/>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1.2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CNS &amp; respiratory depression</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proofErr w:type="spellStart"/>
            <w:r w:rsidRPr="00F472C3">
              <w:rPr>
                <w:rFonts w:asciiTheme="majorBidi" w:hAnsiTheme="majorBidi" w:cstheme="majorBidi"/>
                <w:bCs/>
                <w:sz w:val="28"/>
                <w:szCs w:val="28"/>
                <w:lang w:bidi="ar-EG"/>
              </w:rPr>
              <w:t>Imidazoline</w:t>
            </w:r>
            <w:proofErr w:type="spellEnd"/>
            <w:r w:rsidRPr="00F472C3">
              <w:rPr>
                <w:rFonts w:asciiTheme="majorBidi" w:hAnsiTheme="majorBidi" w:cstheme="majorBidi"/>
                <w:bCs/>
                <w:sz w:val="28"/>
                <w:szCs w:val="28"/>
                <w:lang w:bidi="ar-EG"/>
              </w:rPr>
              <w:t xml:space="preserve">-derived </w:t>
            </w:r>
            <w:proofErr w:type="spellStart"/>
            <w:r w:rsidRPr="00F472C3">
              <w:rPr>
                <w:rFonts w:asciiTheme="majorBidi" w:hAnsiTheme="majorBidi" w:cstheme="majorBidi"/>
                <w:bCs/>
                <w:sz w:val="28"/>
                <w:szCs w:val="28"/>
                <w:lang w:bidi="ar-EG"/>
              </w:rPr>
              <w:t>sympathomimetics</w:t>
            </w:r>
            <w:proofErr w:type="spellEnd"/>
            <w:r w:rsidRPr="00F472C3">
              <w:rPr>
                <w:rFonts w:asciiTheme="majorBidi" w:hAnsiTheme="majorBidi" w:cstheme="majorBidi"/>
                <w:bCs/>
                <w:sz w:val="28"/>
                <w:szCs w:val="28"/>
                <w:lang w:bidi="ar-EG"/>
              </w:rPr>
              <w:t xml:space="preserve"> (</w:t>
            </w:r>
            <w:proofErr w:type="spellStart"/>
            <w:r w:rsidRPr="00F472C3">
              <w:rPr>
                <w:rFonts w:asciiTheme="majorBidi" w:hAnsiTheme="majorBidi" w:cstheme="majorBidi"/>
                <w:bCs/>
                <w:sz w:val="28"/>
                <w:szCs w:val="28"/>
                <w:lang w:bidi="ar-EG"/>
              </w:rPr>
              <w:t>eg</w:t>
            </w:r>
            <w:proofErr w:type="spellEnd"/>
            <w:r w:rsidRPr="00F472C3">
              <w:rPr>
                <w:rFonts w:asciiTheme="majorBidi" w:hAnsiTheme="majorBidi" w:cstheme="majorBidi"/>
                <w:bCs/>
                <w:sz w:val="28"/>
                <w:szCs w:val="28"/>
                <w:lang w:bidi="ar-EG"/>
              </w:rPr>
              <w:t>, Visine, Afrin)</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Unclear</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 xml:space="preserve">Lethargy, </w:t>
            </w:r>
            <w:proofErr w:type="spellStart"/>
            <w:r w:rsidRPr="00F472C3">
              <w:rPr>
                <w:rFonts w:asciiTheme="majorBidi" w:hAnsiTheme="majorBidi" w:cstheme="majorBidi"/>
                <w:bCs/>
                <w:sz w:val="28"/>
                <w:szCs w:val="28"/>
                <w:lang w:bidi="ar-EG"/>
              </w:rPr>
              <w:t>miosis</w:t>
            </w:r>
            <w:proofErr w:type="spellEnd"/>
            <w:r w:rsidRPr="00F472C3">
              <w:rPr>
                <w:rFonts w:asciiTheme="majorBidi" w:hAnsiTheme="majorBidi" w:cstheme="majorBidi"/>
                <w:bCs/>
                <w:sz w:val="28"/>
                <w:szCs w:val="28"/>
                <w:lang w:bidi="ar-EG"/>
              </w:rPr>
              <w:t xml:space="preserve">, hypotension, </w:t>
            </w:r>
            <w:proofErr w:type="spellStart"/>
            <w:r w:rsidRPr="00F472C3">
              <w:rPr>
                <w:rFonts w:asciiTheme="majorBidi" w:hAnsiTheme="majorBidi" w:cstheme="majorBidi"/>
                <w:bCs/>
                <w:sz w:val="28"/>
                <w:szCs w:val="28"/>
                <w:lang w:bidi="ar-EG"/>
              </w:rPr>
              <w:t>bradycardia</w:t>
            </w:r>
            <w:proofErr w:type="spellEnd"/>
            <w:r w:rsidRPr="00F472C3">
              <w:rPr>
                <w:rFonts w:asciiTheme="majorBidi" w:hAnsiTheme="majorBidi" w:cstheme="majorBidi"/>
                <w:bCs/>
                <w:sz w:val="28"/>
                <w:szCs w:val="28"/>
                <w:lang w:bidi="ar-EG"/>
              </w:rPr>
              <w:t>, respiratory depression, shock</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proofErr w:type="spellStart"/>
            <w:r w:rsidRPr="00F472C3">
              <w:rPr>
                <w:rFonts w:asciiTheme="majorBidi" w:hAnsiTheme="majorBidi" w:cstheme="majorBidi"/>
                <w:bCs/>
                <w:sz w:val="28"/>
                <w:szCs w:val="28"/>
                <w:lang w:bidi="ar-EG"/>
              </w:rPr>
              <w:t>Lindane</w:t>
            </w:r>
            <w:proofErr w:type="spellEnd"/>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6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Seizures, CNS depression</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Methadone</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5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CNS &amp; respiratory depression</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Methyl salicylate</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Approximately 200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Seizures, acidosis, cardiovascular collapse</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Nicotine (liquid)</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1 to 3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Seizures, coma, respiratory arrest, cardiac arrest</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Opioids</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Unknown</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proofErr w:type="spellStart"/>
            <w:r w:rsidRPr="00F472C3">
              <w:rPr>
                <w:rFonts w:asciiTheme="majorBidi" w:hAnsiTheme="majorBidi" w:cstheme="majorBidi"/>
                <w:bCs/>
                <w:sz w:val="28"/>
                <w:szCs w:val="28"/>
                <w:lang w:bidi="ar-EG"/>
              </w:rPr>
              <w:t>Miosis</w:t>
            </w:r>
            <w:proofErr w:type="spellEnd"/>
            <w:r w:rsidRPr="00F472C3">
              <w:rPr>
                <w:rFonts w:asciiTheme="majorBidi" w:hAnsiTheme="majorBidi" w:cstheme="majorBidi"/>
                <w:bCs/>
                <w:sz w:val="28"/>
                <w:szCs w:val="28"/>
                <w:lang w:bidi="ar-EG"/>
              </w:rPr>
              <w:t>, CNS depression, respiratory depression</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proofErr w:type="spellStart"/>
            <w:r w:rsidRPr="00F472C3">
              <w:rPr>
                <w:rFonts w:asciiTheme="majorBidi" w:hAnsiTheme="majorBidi" w:cstheme="majorBidi"/>
                <w:bCs/>
                <w:sz w:val="28"/>
                <w:szCs w:val="28"/>
                <w:lang w:bidi="ar-EG"/>
              </w:rPr>
              <w:lastRenderedPageBreak/>
              <w:t>Phenothiazines</w:t>
            </w:r>
            <w:proofErr w:type="spellEnd"/>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Approximately 20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Seizures, arrhythmias, CNS depression</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Phenylpropanolamine</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Unclear</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Arrhythmia, intracranial bleed</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Quinidine</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Approximately 50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Seizures, arrhythmia, CNS depression</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Quinine</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Approximately 80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Seizures, arrhythmias, retinal injury</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Sulfonylureas</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&lt;1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Hypoglycemia</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Theophylline</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50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Seizures, arrhythmias</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Tricyclic antidepressants </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Approximately 15 mg/kg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Seizures, arrhythmias, hypotension </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Toxic alcohols</w:t>
            </w:r>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0.3 mL/kg</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CNS depression</w:t>
            </w:r>
          </w:p>
        </w:tc>
      </w:tr>
      <w:tr w:rsidR="00F472C3" w:rsidRPr="00F472C3" w:rsidTr="004371C0">
        <w:tc>
          <w:tcPr>
            <w:tcW w:w="1634"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proofErr w:type="spellStart"/>
            <w:r w:rsidRPr="00F472C3">
              <w:rPr>
                <w:rFonts w:asciiTheme="majorBidi" w:hAnsiTheme="majorBidi" w:cstheme="majorBidi"/>
                <w:bCs/>
                <w:sz w:val="28"/>
                <w:szCs w:val="28"/>
                <w:lang w:bidi="ar-EG"/>
              </w:rPr>
              <w:t>Vilazodone</w:t>
            </w:r>
            <w:proofErr w:type="spellEnd"/>
          </w:p>
        </w:tc>
        <w:tc>
          <w:tcPr>
            <w:tcW w:w="120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10 mg (1 pill)</w:t>
            </w:r>
          </w:p>
        </w:tc>
        <w:tc>
          <w:tcPr>
            <w:tcW w:w="2163" w:type="pct"/>
            <w:hideMark/>
          </w:tcPr>
          <w:p w:rsidR="00F472C3" w:rsidRPr="00F472C3" w:rsidRDefault="00F472C3" w:rsidP="00F472C3">
            <w:pPr>
              <w:bidi w:val="0"/>
              <w:spacing w:line="240" w:lineRule="auto"/>
              <w:ind w:left="360"/>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Seizures, coma, tachycardia</w:t>
            </w:r>
          </w:p>
        </w:tc>
      </w:tr>
    </w:tbl>
    <w:p w:rsidR="006D6E28" w:rsidRPr="006D6E28" w:rsidRDefault="006D6E28" w:rsidP="00F472C3">
      <w:pPr>
        <w:bidi w:val="0"/>
        <w:spacing w:line="360" w:lineRule="auto"/>
        <w:jc w:val="lowKashida"/>
        <w:rPr>
          <w:rFonts w:asciiTheme="majorBidi" w:hAnsiTheme="majorBidi" w:cstheme="majorBidi"/>
          <w:sz w:val="28"/>
          <w:szCs w:val="28"/>
        </w:rPr>
      </w:pPr>
    </w:p>
    <w:p w:rsidR="006D6E28" w:rsidRDefault="006D6E28" w:rsidP="006D6E28">
      <w:pPr>
        <w:bidi w:val="0"/>
        <w:rPr>
          <w:rFonts w:asciiTheme="majorBidi" w:hAnsiTheme="majorBidi" w:cstheme="majorBidi"/>
          <w:b/>
          <w:bCs/>
          <w:sz w:val="28"/>
          <w:szCs w:val="28"/>
        </w:rPr>
      </w:pPr>
    </w:p>
    <w:p w:rsidR="006D6E28" w:rsidRDefault="006D6E28" w:rsidP="006D6E28">
      <w:pPr>
        <w:bidi w:val="0"/>
        <w:jc w:val="center"/>
        <w:rPr>
          <w:rFonts w:asciiTheme="majorBidi" w:hAnsiTheme="majorBidi" w:cstheme="majorBidi"/>
          <w:b/>
          <w:bCs/>
          <w:sz w:val="28"/>
          <w:szCs w:val="28"/>
        </w:rPr>
        <w:sectPr w:rsidR="006D6E28" w:rsidSect="004371C0">
          <w:headerReference w:type="default" r:id="rId24"/>
          <w:pgSz w:w="11906" w:h="16838"/>
          <w:pgMar w:top="1440" w:right="1440" w:bottom="1440" w:left="1440" w:header="708" w:footer="708" w:gutter="0"/>
          <w:cols w:space="708"/>
          <w:bidi/>
          <w:rtlGutter/>
          <w:docGrid w:linePitch="360"/>
        </w:sectPr>
      </w:pPr>
    </w:p>
    <w:p w:rsidR="0092311A" w:rsidRPr="00F472C3" w:rsidRDefault="0092311A" w:rsidP="006D6E28">
      <w:pPr>
        <w:tabs>
          <w:tab w:val="center" w:pos="4513"/>
        </w:tabs>
        <w:bidi w:val="0"/>
        <w:jc w:val="center"/>
        <w:rPr>
          <w:rFonts w:asciiTheme="majorBidi" w:hAnsiTheme="majorBidi" w:cstheme="majorBidi"/>
          <w:b/>
          <w:bCs/>
          <w:sz w:val="44"/>
          <w:szCs w:val="44"/>
        </w:rPr>
      </w:pPr>
      <w:r w:rsidRPr="00F472C3">
        <w:rPr>
          <w:rFonts w:asciiTheme="majorBidi" w:hAnsiTheme="majorBidi" w:cstheme="majorBidi"/>
          <w:b/>
          <w:bCs/>
          <w:sz w:val="44"/>
          <w:szCs w:val="44"/>
        </w:rPr>
        <w:lastRenderedPageBreak/>
        <w:t>Chapter (3)</w:t>
      </w:r>
    </w:p>
    <w:p w:rsidR="0092311A" w:rsidRPr="00F472C3" w:rsidRDefault="00F472C3" w:rsidP="00F472C3">
      <w:pPr>
        <w:tabs>
          <w:tab w:val="center" w:pos="4513"/>
        </w:tabs>
        <w:bidi w:val="0"/>
        <w:jc w:val="center"/>
        <w:rPr>
          <w:rFonts w:asciiTheme="majorBidi" w:hAnsiTheme="majorBidi" w:cstheme="majorBidi"/>
          <w:b/>
          <w:bCs/>
          <w:sz w:val="44"/>
          <w:szCs w:val="44"/>
        </w:rPr>
      </w:pPr>
      <w:r w:rsidRPr="00F472C3">
        <w:rPr>
          <w:rFonts w:asciiTheme="majorBidi" w:hAnsiTheme="majorBidi" w:cstheme="majorBidi"/>
          <w:b/>
          <w:bCs/>
          <w:sz w:val="44"/>
          <w:szCs w:val="44"/>
        </w:rPr>
        <w:t xml:space="preserve">Pediatric Pharmacology </w:t>
      </w:r>
    </w:p>
    <w:p w:rsidR="0092311A" w:rsidRPr="00F472C3" w:rsidRDefault="0092311A" w:rsidP="00F472C3">
      <w:pPr>
        <w:bidi w:val="0"/>
        <w:spacing w:line="360" w:lineRule="auto"/>
        <w:jc w:val="both"/>
        <w:rPr>
          <w:rFonts w:asciiTheme="majorBidi" w:hAnsiTheme="majorBidi" w:cstheme="majorBidi"/>
          <w:sz w:val="28"/>
          <w:szCs w:val="28"/>
        </w:rPr>
      </w:pPr>
    </w:p>
    <w:p w:rsidR="00F472C3" w:rsidRPr="00F472C3" w:rsidRDefault="00F472C3" w:rsidP="00F472C3">
      <w:pPr>
        <w:bidi w:val="0"/>
        <w:spacing w:line="360" w:lineRule="auto"/>
        <w:ind w:left="230"/>
        <w:jc w:val="both"/>
        <w:rPr>
          <w:rFonts w:ascii="Times New Roman" w:eastAsia="Times New Roman" w:hAnsi="Times New Roman" w:cs="Times New Roman"/>
          <w:b/>
          <w:bCs/>
          <w:color w:val="221F1F"/>
          <w:sz w:val="28"/>
          <w:szCs w:val="28"/>
        </w:rPr>
      </w:pPr>
      <w:r w:rsidRPr="00F472C3">
        <w:rPr>
          <w:rFonts w:ascii="Times New Roman" w:eastAsia="Times New Roman" w:hAnsi="Times New Roman" w:cs="Times New Roman"/>
          <w:b/>
          <w:bCs/>
          <w:color w:val="221F1F"/>
          <w:sz w:val="28"/>
          <w:szCs w:val="28"/>
        </w:rPr>
        <w:t xml:space="preserve">Pharmacokinetics </w:t>
      </w: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Contrasts in life structures and physiology influence organ volumes and blood stream which thus influence the pharmacokinetics of medications and compound substances from one person to the next (Bois and </w:t>
      </w:r>
      <w:proofErr w:type="spellStart"/>
      <w:r w:rsidRPr="002446D5">
        <w:rPr>
          <w:color w:val="221F1F"/>
        </w:rPr>
        <w:t>Brochot</w:t>
      </w:r>
      <w:proofErr w:type="spellEnd"/>
      <w:r w:rsidRPr="002446D5">
        <w:rPr>
          <w:color w:val="221F1F"/>
        </w:rPr>
        <w:t>, 2016). Pharmacology is worried about concentrating on the impacts of medications in the body, and pharmacokinetics concentrates on the impacts endured by the medication when in touch with the body (</w:t>
      </w:r>
      <w:proofErr w:type="spellStart"/>
      <w:r w:rsidRPr="002446D5">
        <w:rPr>
          <w:color w:val="221F1F"/>
        </w:rPr>
        <w:t>Pantaleão</w:t>
      </w:r>
      <w:proofErr w:type="spellEnd"/>
      <w:r w:rsidRPr="002446D5">
        <w:rPr>
          <w:color w:val="221F1F"/>
        </w:rPr>
        <w:t xml:space="preserve"> et al., 2022).</w:t>
      </w:r>
    </w:p>
    <w:p w:rsidR="002446D5" w:rsidRPr="002446D5" w:rsidRDefault="002446D5" w:rsidP="002446D5">
      <w:pPr>
        <w:pStyle w:val="BodyText"/>
        <w:spacing w:before="87" w:line="340" w:lineRule="auto"/>
        <w:ind w:right="26" w:firstLine="540"/>
        <w:jc w:val="both"/>
        <w:rPr>
          <w:color w:val="221F1F"/>
        </w:rPr>
      </w:pPr>
      <w:r w:rsidRPr="002446D5">
        <w:rPr>
          <w:color w:val="221F1F"/>
        </w:rPr>
        <w:t>I. Retention:</w:t>
      </w: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Gastrointestinal retention is impacted by the type of the medication, level of ionization, parcel coefficient, and patient factors, for example, gastrointestinal blood stream, motility, and the presence or nonappearance of food or other meddling substances (Bois and </w:t>
      </w:r>
      <w:proofErr w:type="spellStart"/>
      <w:r w:rsidRPr="002446D5">
        <w:rPr>
          <w:color w:val="221F1F"/>
        </w:rPr>
        <w:t>Brochot</w:t>
      </w:r>
      <w:proofErr w:type="spellEnd"/>
      <w:r w:rsidRPr="002446D5">
        <w:rPr>
          <w:color w:val="221F1F"/>
        </w:rPr>
        <w:t>, 2016).</w:t>
      </w:r>
    </w:p>
    <w:p w:rsidR="002446D5" w:rsidRPr="002446D5" w:rsidRDefault="002446D5" w:rsidP="002446D5">
      <w:pPr>
        <w:pStyle w:val="BodyText"/>
        <w:spacing w:before="87" w:line="340" w:lineRule="auto"/>
        <w:ind w:right="26" w:firstLine="540"/>
        <w:jc w:val="both"/>
        <w:rPr>
          <w:color w:val="221F1F"/>
          <w:rtl/>
        </w:rPr>
      </w:pPr>
      <w:r w:rsidRPr="002446D5">
        <w:rPr>
          <w:color w:val="221F1F"/>
        </w:rPr>
        <w:t>Oral ingestion is the most well-known course of GI assimilation. Gases, unstable fluids, and sprayers might be assimilated through the lungs. Drug retention through the skin relies upon the attributes of the medication and on the state of the skin. The intravenous course of organization brings the medication straightforwardly into the venous circulatory system. Intramuscular and subcutaneous organization includes ingestion from the infusion site into the dissemination by inactive dispersion (</w:t>
      </w:r>
      <w:proofErr w:type="spellStart"/>
      <w:r w:rsidRPr="002446D5">
        <w:rPr>
          <w:color w:val="221F1F"/>
        </w:rPr>
        <w:t>Pantaleão</w:t>
      </w:r>
      <w:proofErr w:type="spellEnd"/>
      <w:r w:rsidRPr="002446D5">
        <w:rPr>
          <w:color w:val="221F1F"/>
        </w:rPr>
        <w:t xml:space="preserve"> et al., 2022).</w:t>
      </w: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The organization of digestive liquids and the penetrability of the stomach shift during youth. Retention of orally controlled drugs is impacted by changes in gastric pH which diminishes during earliest stages to arrive at grown-up values by two years old. Babies are at higher gamble of poisonousness through skin ingestion because of a bigger surface region to volume proportion and they likewise retain to a greater degree a medication across skin because of their </w:t>
      </w:r>
      <w:r w:rsidRPr="002446D5">
        <w:rPr>
          <w:color w:val="221F1F"/>
        </w:rPr>
        <w:lastRenderedPageBreak/>
        <w:t xml:space="preserve">more slender layer </w:t>
      </w:r>
      <w:proofErr w:type="spellStart"/>
      <w:r w:rsidRPr="002446D5">
        <w:rPr>
          <w:color w:val="221F1F"/>
        </w:rPr>
        <w:t>corneum</w:t>
      </w:r>
      <w:proofErr w:type="spellEnd"/>
      <w:r w:rsidRPr="002446D5">
        <w:rPr>
          <w:color w:val="221F1F"/>
        </w:rPr>
        <w:t xml:space="preserve">. This makes sense of why babies have an expanded gamble of </w:t>
      </w:r>
      <w:proofErr w:type="spellStart"/>
      <w:r w:rsidRPr="002446D5">
        <w:rPr>
          <w:color w:val="221F1F"/>
        </w:rPr>
        <w:t>methaemoglobinaemia</w:t>
      </w:r>
      <w:proofErr w:type="spellEnd"/>
      <w:r w:rsidRPr="002446D5">
        <w:rPr>
          <w:color w:val="221F1F"/>
        </w:rPr>
        <w:t xml:space="preserve"> with effective sedatives (Kearns et al., 2003).</w:t>
      </w:r>
    </w:p>
    <w:p w:rsidR="002446D5" w:rsidRPr="002446D5" w:rsidRDefault="002446D5" w:rsidP="002446D5">
      <w:pPr>
        <w:pStyle w:val="BodyText"/>
        <w:spacing w:before="87" w:line="340" w:lineRule="auto"/>
        <w:ind w:right="26" w:firstLine="540"/>
        <w:jc w:val="both"/>
        <w:rPr>
          <w:color w:val="221F1F"/>
        </w:rPr>
      </w:pPr>
      <w:r w:rsidRPr="002446D5">
        <w:rPr>
          <w:color w:val="221F1F"/>
        </w:rPr>
        <w:t>II. Dispersion:</w:t>
      </w:r>
    </w:p>
    <w:p w:rsidR="002446D5" w:rsidRPr="002446D5" w:rsidRDefault="002446D5" w:rsidP="002446D5">
      <w:pPr>
        <w:pStyle w:val="BodyText"/>
        <w:spacing w:before="87" w:line="340" w:lineRule="auto"/>
        <w:ind w:right="26" w:firstLine="540"/>
        <w:jc w:val="both"/>
        <w:rPr>
          <w:color w:val="221F1F"/>
        </w:rPr>
      </w:pPr>
      <w:r w:rsidRPr="002446D5">
        <w:rPr>
          <w:color w:val="221F1F"/>
        </w:rPr>
        <w:t>After ingestion, a medication is circulated to different body compartments as per its physiochemical properties, like sub-atomic size, ionization steady, and relative watery and lipid dissolvability (</w:t>
      </w:r>
      <w:proofErr w:type="spellStart"/>
      <w:r w:rsidRPr="002446D5">
        <w:rPr>
          <w:color w:val="221F1F"/>
        </w:rPr>
        <w:t>Mangoni</w:t>
      </w:r>
      <w:proofErr w:type="spellEnd"/>
      <w:r w:rsidRPr="002446D5">
        <w:rPr>
          <w:color w:val="221F1F"/>
        </w:rPr>
        <w:t xml:space="preserve"> and Jackson, 2004).</w:t>
      </w: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The volume of appropriation changes over the course of growing up as stores of fat and water change. Babies have a higher level of extracellular </w:t>
      </w:r>
      <w:proofErr w:type="gramStart"/>
      <w:r w:rsidRPr="002446D5">
        <w:rPr>
          <w:color w:val="221F1F"/>
        </w:rPr>
        <w:t>water,</w:t>
      </w:r>
      <w:proofErr w:type="gramEnd"/>
      <w:r w:rsidRPr="002446D5">
        <w:rPr>
          <w:color w:val="221F1F"/>
        </w:rPr>
        <w:t xml:space="preserve"> and stores of muscle versus fat increment over the course of growing up. Changes in volume of conveyance can modify the medication's half-life, requiring change of the dosing span, as seen with digoxin. Newborn children have lower centralizations of circling plasma proteins lessening protein restricting. </w:t>
      </w:r>
      <w:proofErr w:type="gramStart"/>
      <w:r w:rsidRPr="002446D5">
        <w:rPr>
          <w:color w:val="221F1F"/>
        </w:rPr>
        <w:t xml:space="preserve">This outcomes in higher dissemination and lower top centralizations of protein-bound medications, for example, </w:t>
      </w:r>
      <w:proofErr w:type="spellStart"/>
      <w:r w:rsidRPr="002446D5">
        <w:rPr>
          <w:color w:val="221F1F"/>
        </w:rPr>
        <w:t>cefazolin</w:t>
      </w:r>
      <w:proofErr w:type="spellEnd"/>
      <w:r w:rsidRPr="002446D5">
        <w:rPr>
          <w:color w:val="221F1F"/>
        </w:rPr>
        <w:t xml:space="preserve"> (</w:t>
      </w:r>
      <w:proofErr w:type="spellStart"/>
      <w:r w:rsidRPr="002446D5">
        <w:rPr>
          <w:color w:val="221F1F"/>
        </w:rPr>
        <w:t>Allegaert</w:t>
      </w:r>
      <w:proofErr w:type="spellEnd"/>
      <w:r w:rsidRPr="002446D5">
        <w:rPr>
          <w:color w:val="221F1F"/>
        </w:rPr>
        <w:t xml:space="preserve"> et al., 2014).</w:t>
      </w:r>
      <w:proofErr w:type="gramEnd"/>
    </w:p>
    <w:p w:rsidR="002446D5" w:rsidRPr="002446D5" w:rsidRDefault="002446D5" w:rsidP="002446D5">
      <w:pPr>
        <w:pStyle w:val="BodyText"/>
        <w:spacing w:before="87" w:line="340" w:lineRule="auto"/>
        <w:ind w:right="26" w:firstLine="540"/>
        <w:jc w:val="both"/>
        <w:rPr>
          <w:color w:val="221F1F"/>
        </w:rPr>
      </w:pPr>
      <w:r w:rsidRPr="002446D5">
        <w:rPr>
          <w:color w:val="221F1F"/>
        </w:rPr>
        <w:t>III. Digestion:</w:t>
      </w:r>
    </w:p>
    <w:p w:rsidR="002446D5" w:rsidRPr="002446D5" w:rsidRDefault="002446D5" w:rsidP="002446D5">
      <w:pPr>
        <w:pStyle w:val="BodyText"/>
        <w:spacing w:before="87" w:line="340" w:lineRule="auto"/>
        <w:ind w:right="26" w:firstLine="540"/>
        <w:jc w:val="both"/>
        <w:rPr>
          <w:color w:val="221F1F"/>
        </w:rPr>
      </w:pPr>
      <w:r w:rsidRPr="002446D5">
        <w:rPr>
          <w:color w:val="221F1F"/>
        </w:rPr>
        <w:t>Drug-using P450s are communicated to work with the digestion and disposal of many mixtures (Panel on Injury and Toxin Avoidance, 1997).</w:t>
      </w:r>
    </w:p>
    <w:p w:rsidR="002446D5" w:rsidRPr="002446D5" w:rsidRDefault="002446D5" w:rsidP="002446D5">
      <w:pPr>
        <w:pStyle w:val="BodyText"/>
        <w:spacing w:before="87" w:line="340" w:lineRule="auto"/>
        <w:ind w:right="26" w:firstLine="540"/>
        <w:jc w:val="both"/>
        <w:rPr>
          <w:color w:val="221F1F"/>
        </w:rPr>
      </w:pPr>
      <w:r w:rsidRPr="002446D5">
        <w:rPr>
          <w:color w:val="221F1F"/>
        </w:rPr>
        <w:t>The digestion of medications is the most intricate distinction among grown-ups and youngsters. Cytochrome P450 (CYP) proteins are dynamic in the baby. Protein movement starts to increment during the later phases of pregnancy with various paces of individual catalyst advancement found in babies who are conceived preterm. The example of dynamic catalysts changes over the initial not many long periods of life to reach or surpass grown-up levels at something like two years old. While most compounds expansion in movement over the initial not many long periods of life, whatever as CYP3A7 are supplanted by different proteins, for this situation CYP3A4 (Kearns et al., 2003).</w:t>
      </w:r>
    </w:p>
    <w:p w:rsidR="002446D5" w:rsidRPr="002446D5" w:rsidRDefault="002446D5" w:rsidP="002446D5">
      <w:pPr>
        <w:pStyle w:val="BodyText"/>
        <w:spacing w:before="87" w:line="340" w:lineRule="auto"/>
        <w:ind w:right="26" w:firstLine="540"/>
        <w:jc w:val="both"/>
        <w:rPr>
          <w:color w:val="221F1F"/>
        </w:rPr>
      </w:pPr>
      <w:r w:rsidRPr="002446D5">
        <w:rPr>
          <w:color w:val="221F1F"/>
        </w:rPr>
        <w:t>IV. Disposal</w:t>
      </w: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 After ingestion and circulation are finished, the end cycle starts right </w:t>
      </w:r>
      <w:r w:rsidRPr="002446D5">
        <w:rPr>
          <w:color w:val="221F1F"/>
        </w:rPr>
        <w:lastRenderedPageBreak/>
        <w:t xml:space="preserve">away, by eliminating of a compound from the body through freedom organs like the liver, kidneys, and lungs. This interaction is impacted by the significant organ frameworks (cardiovascular, lungs, renal, hepatic). End can be achieved by biotransformation </w:t>
      </w:r>
      <w:proofErr w:type="gramStart"/>
      <w:r w:rsidRPr="002446D5">
        <w:rPr>
          <w:color w:val="221F1F"/>
        </w:rPr>
        <w:t>to at least one metabolites,</w:t>
      </w:r>
      <w:proofErr w:type="gramEnd"/>
      <w:r w:rsidRPr="002446D5">
        <w:rPr>
          <w:color w:val="221F1F"/>
        </w:rPr>
        <w:t xml:space="preserve"> or by discharge from the assortment of unaltered xenobiotic. Discharge can happen through the kidneys, lungs, GI plot, and body emissions (sweat, tears, milk) (Hoffman and </w:t>
      </w:r>
      <w:proofErr w:type="spellStart"/>
      <w:r w:rsidRPr="002446D5">
        <w:rPr>
          <w:color w:val="221F1F"/>
        </w:rPr>
        <w:t>Osterhoudt</w:t>
      </w:r>
      <w:proofErr w:type="spellEnd"/>
      <w:r w:rsidRPr="002446D5">
        <w:rPr>
          <w:color w:val="221F1F"/>
        </w:rPr>
        <w:t>, 2002).</w:t>
      </w:r>
    </w:p>
    <w:p w:rsidR="002446D5" w:rsidRDefault="002446D5" w:rsidP="002446D5">
      <w:pPr>
        <w:pStyle w:val="BodyText"/>
        <w:spacing w:before="87" w:line="340" w:lineRule="auto"/>
        <w:ind w:right="26" w:firstLine="540"/>
        <w:jc w:val="both"/>
        <w:rPr>
          <w:color w:val="221F1F"/>
        </w:rPr>
      </w:pPr>
      <w:r w:rsidRPr="002446D5">
        <w:rPr>
          <w:color w:val="221F1F"/>
        </w:rPr>
        <w:t>Glomerular filtration rates are fundamentally low in the pediatric populace however they increment as the individual ages and they arrive at grown-up levels by around two years old (Skinner, 2008).</w:t>
      </w:r>
    </w:p>
    <w:p w:rsidR="00C64E2B" w:rsidRDefault="00C64E2B" w:rsidP="00C64E2B">
      <w:pPr>
        <w:bidi w:val="0"/>
        <w:spacing w:line="360" w:lineRule="auto"/>
        <w:jc w:val="center"/>
        <w:rPr>
          <w:rFonts w:asciiTheme="majorBidi" w:hAnsiTheme="majorBidi" w:cstheme="majorBidi"/>
          <w:sz w:val="28"/>
          <w:szCs w:val="28"/>
        </w:rPr>
      </w:pPr>
    </w:p>
    <w:p w:rsidR="00C64E2B" w:rsidRDefault="00C64E2B" w:rsidP="00C64E2B">
      <w:pPr>
        <w:bidi w:val="0"/>
        <w:spacing w:line="360" w:lineRule="auto"/>
        <w:jc w:val="center"/>
        <w:rPr>
          <w:rFonts w:asciiTheme="majorBidi" w:hAnsiTheme="majorBidi" w:cstheme="majorBidi"/>
          <w:sz w:val="28"/>
          <w:szCs w:val="28"/>
        </w:rPr>
      </w:pPr>
    </w:p>
    <w:p w:rsidR="00C64E2B" w:rsidRDefault="00C64E2B" w:rsidP="00C64E2B">
      <w:pPr>
        <w:bidi w:val="0"/>
        <w:spacing w:line="360" w:lineRule="auto"/>
        <w:jc w:val="center"/>
        <w:rPr>
          <w:rFonts w:asciiTheme="majorBidi" w:hAnsiTheme="majorBidi" w:cstheme="majorBidi"/>
          <w:sz w:val="28"/>
          <w:szCs w:val="28"/>
        </w:rPr>
      </w:pPr>
    </w:p>
    <w:p w:rsidR="00C64E2B" w:rsidRDefault="00C64E2B" w:rsidP="00C64E2B">
      <w:pPr>
        <w:bidi w:val="0"/>
        <w:spacing w:line="360" w:lineRule="auto"/>
        <w:jc w:val="center"/>
        <w:rPr>
          <w:rFonts w:asciiTheme="majorBidi" w:hAnsiTheme="majorBidi" w:cstheme="majorBidi"/>
          <w:sz w:val="28"/>
          <w:szCs w:val="28"/>
        </w:rPr>
      </w:pPr>
    </w:p>
    <w:p w:rsidR="00C64E2B" w:rsidRDefault="00C64E2B" w:rsidP="00C64E2B">
      <w:pPr>
        <w:bidi w:val="0"/>
        <w:spacing w:line="360" w:lineRule="auto"/>
        <w:jc w:val="center"/>
        <w:rPr>
          <w:rFonts w:asciiTheme="majorBidi" w:hAnsiTheme="majorBidi" w:cstheme="majorBidi"/>
          <w:sz w:val="28"/>
          <w:szCs w:val="28"/>
        </w:rPr>
      </w:pPr>
    </w:p>
    <w:p w:rsidR="00C64E2B" w:rsidRDefault="00C64E2B" w:rsidP="00C64E2B">
      <w:pPr>
        <w:bidi w:val="0"/>
        <w:spacing w:line="360" w:lineRule="auto"/>
        <w:jc w:val="center"/>
        <w:rPr>
          <w:rFonts w:asciiTheme="majorBidi" w:hAnsiTheme="majorBidi" w:cstheme="majorBidi"/>
          <w:sz w:val="28"/>
          <w:szCs w:val="28"/>
        </w:rPr>
      </w:pPr>
    </w:p>
    <w:p w:rsidR="00C64E2B" w:rsidRDefault="00C64E2B" w:rsidP="00C64E2B">
      <w:pPr>
        <w:bidi w:val="0"/>
        <w:spacing w:line="360" w:lineRule="auto"/>
        <w:jc w:val="center"/>
        <w:rPr>
          <w:rFonts w:asciiTheme="majorBidi" w:hAnsiTheme="majorBidi" w:cstheme="majorBidi"/>
          <w:sz w:val="28"/>
          <w:szCs w:val="28"/>
        </w:rPr>
      </w:pPr>
    </w:p>
    <w:p w:rsidR="00C64E2B" w:rsidRDefault="00C64E2B" w:rsidP="00C64E2B">
      <w:pPr>
        <w:bidi w:val="0"/>
        <w:spacing w:line="360" w:lineRule="auto"/>
        <w:jc w:val="center"/>
        <w:rPr>
          <w:rFonts w:asciiTheme="majorBidi" w:hAnsiTheme="majorBidi" w:cstheme="majorBidi"/>
          <w:sz w:val="28"/>
          <w:szCs w:val="28"/>
        </w:rPr>
      </w:pPr>
    </w:p>
    <w:p w:rsidR="00C64E2B" w:rsidRDefault="00C64E2B" w:rsidP="00C64E2B">
      <w:pPr>
        <w:bidi w:val="0"/>
        <w:spacing w:line="360" w:lineRule="auto"/>
        <w:jc w:val="center"/>
        <w:rPr>
          <w:rFonts w:asciiTheme="majorBidi" w:hAnsiTheme="majorBidi" w:cstheme="majorBidi"/>
          <w:sz w:val="28"/>
          <w:szCs w:val="28"/>
        </w:rPr>
      </w:pPr>
    </w:p>
    <w:p w:rsidR="00610F79" w:rsidRDefault="00610F79" w:rsidP="00C64E2B">
      <w:pPr>
        <w:bidi w:val="0"/>
        <w:spacing w:line="360" w:lineRule="auto"/>
        <w:jc w:val="center"/>
        <w:rPr>
          <w:rFonts w:asciiTheme="majorBidi" w:hAnsiTheme="majorBidi" w:cstheme="majorBidi"/>
          <w:sz w:val="28"/>
          <w:szCs w:val="28"/>
        </w:rPr>
        <w:sectPr w:rsidR="00610F79" w:rsidSect="004371C0">
          <w:headerReference w:type="default" r:id="rId25"/>
          <w:pgSz w:w="11906" w:h="16838"/>
          <w:pgMar w:top="1440" w:right="1440" w:bottom="810" w:left="1440" w:header="708" w:footer="708" w:gutter="0"/>
          <w:cols w:space="708"/>
          <w:bidi/>
          <w:rtlGutter/>
          <w:docGrid w:linePitch="360"/>
        </w:sectPr>
      </w:pPr>
    </w:p>
    <w:p w:rsidR="0092311A" w:rsidRPr="00F472C3" w:rsidRDefault="0092311A" w:rsidP="00610F79">
      <w:pPr>
        <w:bidi w:val="0"/>
        <w:spacing w:line="360" w:lineRule="auto"/>
        <w:jc w:val="center"/>
        <w:rPr>
          <w:rFonts w:asciiTheme="majorBidi" w:hAnsiTheme="majorBidi" w:cstheme="majorBidi"/>
          <w:b/>
          <w:bCs/>
          <w:sz w:val="44"/>
          <w:szCs w:val="44"/>
        </w:rPr>
      </w:pPr>
      <w:r w:rsidRPr="00F472C3">
        <w:rPr>
          <w:rFonts w:asciiTheme="majorBidi" w:hAnsiTheme="majorBidi" w:cstheme="majorBidi"/>
          <w:b/>
          <w:bCs/>
          <w:sz w:val="44"/>
          <w:szCs w:val="44"/>
        </w:rPr>
        <w:lastRenderedPageBreak/>
        <w:t>Chapter (4)</w:t>
      </w:r>
    </w:p>
    <w:p w:rsidR="0092311A" w:rsidRDefault="00F472C3" w:rsidP="00F472C3">
      <w:pPr>
        <w:bidi w:val="0"/>
        <w:spacing w:line="360" w:lineRule="auto"/>
        <w:jc w:val="center"/>
        <w:rPr>
          <w:rFonts w:asciiTheme="majorBidi" w:hAnsiTheme="majorBidi" w:cstheme="majorBidi"/>
          <w:b/>
          <w:bCs/>
          <w:sz w:val="44"/>
          <w:szCs w:val="44"/>
        </w:rPr>
      </w:pPr>
      <w:r w:rsidRPr="00F472C3">
        <w:rPr>
          <w:rFonts w:asciiTheme="majorBidi" w:hAnsiTheme="majorBidi" w:cstheme="majorBidi"/>
          <w:b/>
          <w:bCs/>
          <w:sz w:val="44"/>
          <w:szCs w:val="44"/>
        </w:rPr>
        <w:t>Risk Factors of Poisoning Among Children</w:t>
      </w:r>
    </w:p>
    <w:p w:rsidR="002446D5" w:rsidRPr="002446D5" w:rsidRDefault="002446D5" w:rsidP="002446D5">
      <w:pPr>
        <w:pStyle w:val="BodyText"/>
        <w:spacing w:before="87" w:line="340" w:lineRule="auto"/>
        <w:ind w:right="26" w:firstLine="540"/>
        <w:jc w:val="both"/>
        <w:rPr>
          <w:color w:val="221F1F"/>
        </w:rPr>
      </w:pPr>
      <w:r w:rsidRPr="002446D5">
        <w:rPr>
          <w:color w:val="221F1F"/>
        </w:rPr>
        <w:t>Coming up next are normal gamble factors for harming in the pediatric populace:</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Age: The more youthful, the more pervasive the frequency (Figure 2).</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Sex: Harming is more normal in young men (</w:t>
      </w:r>
      <w:proofErr w:type="spellStart"/>
      <w:r w:rsidRPr="002446D5">
        <w:rPr>
          <w:color w:val="221F1F"/>
        </w:rPr>
        <w:t>Gummin</w:t>
      </w:r>
      <w:proofErr w:type="spellEnd"/>
      <w:r w:rsidRPr="002446D5">
        <w:rPr>
          <w:color w:val="221F1F"/>
        </w:rPr>
        <w:t xml:space="preserve"> et al., 2021).</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Formative variables:</w:t>
      </w:r>
    </w:p>
    <w:p w:rsidR="002446D5" w:rsidRPr="002446D5" w:rsidRDefault="002446D5" w:rsidP="002446D5">
      <w:pPr>
        <w:pStyle w:val="BodyText"/>
        <w:spacing w:before="87" w:line="340" w:lineRule="auto"/>
        <w:ind w:right="26" w:firstLine="540"/>
        <w:jc w:val="both"/>
        <w:rPr>
          <w:color w:val="221F1F"/>
        </w:rPr>
      </w:pPr>
      <w:proofErr w:type="gramStart"/>
      <w:r w:rsidRPr="002446D5">
        <w:rPr>
          <w:color w:val="221F1F"/>
        </w:rPr>
        <w:t>o</w:t>
      </w:r>
      <w:proofErr w:type="gramEnd"/>
      <w:r w:rsidRPr="002446D5">
        <w:rPr>
          <w:color w:val="221F1F"/>
        </w:rPr>
        <w:tab/>
        <w:t>The typical formative movement of small kids, including investigation of their current circumstance, places them in danger of harming (Council on Injury and Toxic substance Avoidance, 1997).</w:t>
      </w:r>
    </w:p>
    <w:p w:rsidR="002446D5" w:rsidRPr="002446D5" w:rsidRDefault="002446D5" w:rsidP="002446D5">
      <w:pPr>
        <w:pStyle w:val="BodyText"/>
        <w:spacing w:before="87" w:line="340" w:lineRule="auto"/>
        <w:ind w:right="26" w:firstLine="540"/>
        <w:jc w:val="both"/>
        <w:rPr>
          <w:color w:val="221F1F"/>
        </w:rPr>
      </w:pPr>
      <w:proofErr w:type="gramStart"/>
      <w:r w:rsidRPr="002446D5">
        <w:rPr>
          <w:color w:val="221F1F"/>
        </w:rPr>
        <w:t>o</w:t>
      </w:r>
      <w:proofErr w:type="gramEnd"/>
      <w:r w:rsidRPr="002446D5">
        <w:rPr>
          <w:color w:val="221F1F"/>
        </w:rPr>
        <w:tab/>
        <w:t>Young youngsters don't yet grasp risk or the idea of harming, so regardless of coming up short on the longing or the desire to ingest a substance, they are very inclined to harming.</w:t>
      </w:r>
    </w:p>
    <w:p w:rsidR="002446D5" w:rsidRPr="002446D5" w:rsidRDefault="002446D5" w:rsidP="002446D5">
      <w:pPr>
        <w:pStyle w:val="BodyText"/>
        <w:spacing w:before="87" w:line="340" w:lineRule="auto"/>
        <w:ind w:right="26" w:firstLine="540"/>
        <w:jc w:val="both"/>
        <w:rPr>
          <w:color w:val="221F1F"/>
        </w:rPr>
      </w:pPr>
      <w:proofErr w:type="gramStart"/>
      <w:r w:rsidRPr="002446D5">
        <w:rPr>
          <w:color w:val="221F1F"/>
        </w:rPr>
        <w:t>o</w:t>
      </w:r>
      <w:proofErr w:type="gramEnd"/>
      <w:r w:rsidRPr="002446D5">
        <w:rPr>
          <w:color w:val="221F1F"/>
        </w:rPr>
        <w:tab/>
        <w:t>Normal interest and longing for oral excitement might make youngsters place new articles straightforwardly into the mouth for tasting or gulping</w:t>
      </w:r>
    </w:p>
    <w:p w:rsidR="002446D5" w:rsidRPr="002446D5" w:rsidRDefault="002446D5" w:rsidP="002446D5">
      <w:pPr>
        <w:pStyle w:val="BodyText"/>
        <w:spacing w:before="87" w:line="340" w:lineRule="auto"/>
        <w:ind w:right="26" w:firstLine="540"/>
        <w:jc w:val="both"/>
        <w:rPr>
          <w:color w:val="221F1F"/>
        </w:rPr>
      </w:pPr>
      <w:proofErr w:type="gramStart"/>
      <w:r w:rsidRPr="002446D5">
        <w:rPr>
          <w:color w:val="221F1F"/>
        </w:rPr>
        <w:t>o</w:t>
      </w:r>
      <w:proofErr w:type="gramEnd"/>
      <w:r w:rsidRPr="002446D5">
        <w:rPr>
          <w:color w:val="221F1F"/>
        </w:rPr>
        <w:tab/>
        <w:t>Well-meaning pre-</w:t>
      </w:r>
      <w:proofErr w:type="spellStart"/>
      <w:r w:rsidRPr="002446D5">
        <w:rPr>
          <w:color w:val="221F1F"/>
        </w:rPr>
        <w:t>schoolers</w:t>
      </w:r>
      <w:proofErr w:type="spellEnd"/>
      <w:r w:rsidRPr="002446D5">
        <w:rPr>
          <w:color w:val="221F1F"/>
        </w:rPr>
        <w:t xml:space="preserve"> might attempt to "help" by utilizing poisonous cleaning items or by endeavoring to self-direct drug (Rodriguez-</w:t>
      </w:r>
      <w:proofErr w:type="spellStart"/>
      <w:r w:rsidRPr="002446D5">
        <w:rPr>
          <w:color w:val="221F1F"/>
        </w:rPr>
        <w:t>Antona</w:t>
      </w:r>
      <w:proofErr w:type="spellEnd"/>
      <w:r w:rsidRPr="002446D5">
        <w:rPr>
          <w:color w:val="221F1F"/>
        </w:rPr>
        <w:t xml:space="preserve"> and </w:t>
      </w:r>
      <w:proofErr w:type="spellStart"/>
      <w:r w:rsidRPr="002446D5">
        <w:rPr>
          <w:color w:val="221F1F"/>
        </w:rPr>
        <w:t>Ingelman-Sundberg</w:t>
      </w:r>
      <w:proofErr w:type="spellEnd"/>
      <w:r w:rsidRPr="002446D5">
        <w:rPr>
          <w:color w:val="221F1F"/>
        </w:rPr>
        <w:t>, 2006)</w:t>
      </w:r>
    </w:p>
    <w:p w:rsidR="002446D5" w:rsidRPr="002446D5" w:rsidRDefault="002446D5" w:rsidP="002446D5">
      <w:pPr>
        <w:pStyle w:val="BodyText"/>
        <w:spacing w:before="87" w:line="340" w:lineRule="auto"/>
        <w:ind w:right="26" w:firstLine="540"/>
        <w:jc w:val="both"/>
        <w:rPr>
          <w:color w:val="221F1F"/>
        </w:rPr>
      </w:pPr>
      <w:proofErr w:type="gramStart"/>
      <w:r w:rsidRPr="002446D5">
        <w:rPr>
          <w:color w:val="221F1F"/>
        </w:rPr>
        <w:t>o</w:t>
      </w:r>
      <w:proofErr w:type="gramEnd"/>
      <w:r w:rsidRPr="002446D5">
        <w:rPr>
          <w:color w:val="221F1F"/>
        </w:rPr>
        <w:tab/>
        <w:t xml:space="preserve">Peer tension and want to adjust likewise add to this issue. Likewise, teens (more normally females than guys) may accept an excess of prescription as a </w:t>
      </w:r>
      <w:proofErr w:type="spellStart"/>
      <w:r w:rsidRPr="002446D5">
        <w:rPr>
          <w:color w:val="221F1F"/>
        </w:rPr>
        <w:t>self destruction</w:t>
      </w:r>
      <w:proofErr w:type="spellEnd"/>
      <w:r w:rsidRPr="002446D5">
        <w:rPr>
          <w:color w:val="221F1F"/>
        </w:rPr>
        <w:t xml:space="preserve"> endeavor or signal (Award Alfieri et al., 2013)</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Natural variables:</w:t>
      </w:r>
    </w:p>
    <w:p w:rsidR="002446D5" w:rsidRPr="002446D5" w:rsidRDefault="002446D5" w:rsidP="002446D5">
      <w:pPr>
        <w:pStyle w:val="BodyText"/>
        <w:spacing w:before="87" w:line="340" w:lineRule="auto"/>
        <w:ind w:right="26" w:firstLine="540"/>
        <w:jc w:val="both"/>
        <w:rPr>
          <w:color w:val="221F1F"/>
        </w:rPr>
      </w:pPr>
      <w:proofErr w:type="gramStart"/>
      <w:r w:rsidRPr="002446D5">
        <w:rPr>
          <w:color w:val="221F1F"/>
        </w:rPr>
        <w:t>o</w:t>
      </w:r>
      <w:proofErr w:type="gramEnd"/>
      <w:r w:rsidRPr="002446D5">
        <w:rPr>
          <w:color w:val="221F1F"/>
        </w:rPr>
        <w:tab/>
        <w:t>Most homes contain various possibly poisonous substances, especially in the kitchen (</w:t>
      </w:r>
      <w:proofErr w:type="spellStart"/>
      <w:r w:rsidRPr="002446D5">
        <w:rPr>
          <w:color w:val="221F1F"/>
        </w:rPr>
        <w:t>eg</w:t>
      </w:r>
      <w:proofErr w:type="spellEnd"/>
      <w:r w:rsidRPr="002446D5">
        <w:rPr>
          <w:color w:val="221F1F"/>
        </w:rPr>
        <w:t>, dish washer cleanser parcels/units), restrooms, pantry (</w:t>
      </w:r>
      <w:proofErr w:type="spellStart"/>
      <w:r w:rsidRPr="002446D5">
        <w:rPr>
          <w:color w:val="221F1F"/>
        </w:rPr>
        <w:t>eg</w:t>
      </w:r>
      <w:proofErr w:type="spellEnd"/>
      <w:r w:rsidRPr="002446D5">
        <w:rPr>
          <w:color w:val="221F1F"/>
        </w:rPr>
        <w:t>, clothing cleanser cases), and carport.</w:t>
      </w:r>
    </w:p>
    <w:p w:rsidR="002446D5" w:rsidRPr="002446D5" w:rsidRDefault="002446D5" w:rsidP="002446D5">
      <w:pPr>
        <w:pStyle w:val="BodyText"/>
        <w:spacing w:before="87" w:line="340" w:lineRule="auto"/>
        <w:ind w:right="26" w:firstLine="540"/>
        <w:jc w:val="both"/>
        <w:rPr>
          <w:color w:val="221F1F"/>
        </w:rPr>
      </w:pPr>
      <w:proofErr w:type="gramStart"/>
      <w:r w:rsidRPr="002446D5">
        <w:rPr>
          <w:color w:val="221F1F"/>
        </w:rPr>
        <w:t>o</w:t>
      </w:r>
      <w:proofErr w:type="gramEnd"/>
      <w:r w:rsidRPr="002446D5">
        <w:rPr>
          <w:color w:val="221F1F"/>
        </w:rPr>
        <w:tab/>
        <w:t xml:space="preserve">Products or prescriptions that are utilized or taken much of the time might be put away appropriately, however during use might be left immediately </w:t>
      </w:r>
      <w:r w:rsidRPr="002446D5">
        <w:rPr>
          <w:color w:val="221F1F"/>
        </w:rPr>
        <w:lastRenderedPageBreak/>
        <w:t>inside a youngster's compass (Spiller et al., 2019).</w:t>
      </w:r>
    </w:p>
    <w:p w:rsidR="002446D5" w:rsidRPr="002446D5" w:rsidRDefault="002446D5" w:rsidP="002446D5">
      <w:pPr>
        <w:pStyle w:val="BodyText"/>
        <w:spacing w:before="87" w:line="340" w:lineRule="auto"/>
        <w:ind w:right="26" w:firstLine="540"/>
        <w:jc w:val="both"/>
        <w:rPr>
          <w:color w:val="221F1F"/>
        </w:rPr>
      </w:pPr>
      <w:proofErr w:type="gramStart"/>
      <w:r w:rsidRPr="002446D5">
        <w:rPr>
          <w:color w:val="221F1F"/>
        </w:rPr>
        <w:t>o</w:t>
      </w:r>
      <w:proofErr w:type="gramEnd"/>
      <w:r w:rsidRPr="002446D5">
        <w:rPr>
          <w:color w:val="221F1F"/>
        </w:rPr>
        <w:tab/>
        <w:t>Look-alikes likewise represent an issue for little kids. A few drugs seem to be indistinguishable from candy.</w:t>
      </w:r>
    </w:p>
    <w:p w:rsidR="002446D5" w:rsidRDefault="002446D5" w:rsidP="002446D5">
      <w:pPr>
        <w:pStyle w:val="BodyText"/>
        <w:spacing w:before="87" w:line="340" w:lineRule="auto"/>
        <w:ind w:right="26" w:firstLine="540"/>
        <w:jc w:val="both"/>
        <w:rPr>
          <w:color w:val="221F1F"/>
        </w:rPr>
      </w:pPr>
      <w:proofErr w:type="gramStart"/>
      <w:r w:rsidRPr="002446D5">
        <w:rPr>
          <w:color w:val="221F1F"/>
        </w:rPr>
        <w:t>o</w:t>
      </w:r>
      <w:proofErr w:type="gramEnd"/>
      <w:r w:rsidRPr="002446D5">
        <w:rPr>
          <w:color w:val="221F1F"/>
        </w:rPr>
        <w:tab/>
        <w:t>The accessibility of meds, drugs, or different substances of maltreatment at the everyday schedule might put weak youngsters at additional gamble (Award Alfieri et al., 2013).</w:t>
      </w: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F472C3" w:rsidRDefault="00F472C3" w:rsidP="00F472C3">
      <w:pPr>
        <w:pStyle w:val="BodyText"/>
        <w:spacing w:before="87" w:line="360" w:lineRule="auto"/>
        <w:ind w:right="823"/>
        <w:jc w:val="both"/>
        <w:rPr>
          <w:color w:val="221F1F"/>
        </w:rPr>
      </w:pPr>
    </w:p>
    <w:p w:rsidR="00610F79" w:rsidRDefault="00610F79" w:rsidP="00F472C3">
      <w:pPr>
        <w:pStyle w:val="BodyText"/>
        <w:spacing w:before="87" w:line="360" w:lineRule="auto"/>
        <w:ind w:right="823"/>
        <w:jc w:val="both"/>
        <w:rPr>
          <w:color w:val="221F1F"/>
        </w:rPr>
        <w:sectPr w:rsidR="00610F79" w:rsidSect="004371C0">
          <w:headerReference w:type="default" r:id="rId26"/>
          <w:pgSz w:w="11906" w:h="16838"/>
          <w:pgMar w:top="1440" w:right="1440" w:bottom="810" w:left="1440" w:header="708" w:footer="708" w:gutter="0"/>
          <w:cols w:space="708"/>
          <w:bidi/>
          <w:rtlGutter/>
          <w:docGrid w:linePitch="360"/>
        </w:sectPr>
      </w:pPr>
    </w:p>
    <w:p w:rsidR="00F472C3" w:rsidRDefault="00F472C3" w:rsidP="00610F79">
      <w:pPr>
        <w:pStyle w:val="BodyText"/>
        <w:spacing w:before="87" w:line="360" w:lineRule="auto"/>
        <w:ind w:right="823"/>
        <w:jc w:val="center"/>
        <w:rPr>
          <w:b/>
          <w:bCs/>
          <w:color w:val="221F1F"/>
          <w:sz w:val="44"/>
          <w:szCs w:val="44"/>
        </w:rPr>
      </w:pPr>
      <w:r w:rsidRPr="00F472C3">
        <w:rPr>
          <w:b/>
          <w:bCs/>
          <w:color w:val="221F1F"/>
          <w:sz w:val="44"/>
          <w:szCs w:val="44"/>
        </w:rPr>
        <w:lastRenderedPageBreak/>
        <w:t>Chapter (5)</w:t>
      </w:r>
    </w:p>
    <w:p w:rsidR="00F472C3" w:rsidRPr="00F472C3" w:rsidRDefault="00F472C3" w:rsidP="00F472C3">
      <w:pPr>
        <w:pStyle w:val="BodyText"/>
        <w:spacing w:before="87" w:line="360" w:lineRule="auto"/>
        <w:ind w:right="823"/>
        <w:jc w:val="center"/>
        <w:rPr>
          <w:b/>
          <w:bCs/>
          <w:color w:val="221F1F"/>
          <w:sz w:val="44"/>
          <w:szCs w:val="44"/>
        </w:rPr>
      </w:pPr>
      <w:r w:rsidRPr="00F472C3">
        <w:rPr>
          <w:b/>
          <w:bCs/>
          <w:color w:val="221F1F"/>
          <w:sz w:val="44"/>
          <w:szCs w:val="44"/>
        </w:rPr>
        <w:t>Prevention of Pediatric Poisoning</w:t>
      </w:r>
    </w:p>
    <w:p w:rsidR="00F472C3" w:rsidRDefault="00F472C3" w:rsidP="00F472C3">
      <w:pPr>
        <w:pStyle w:val="BodyText"/>
        <w:spacing w:before="87" w:line="360" w:lineRule="auto"/>
        <w:ind w:left="720" w:right="823"/>
        <w:jc w:val="both"/>
        <w:rPr>
          <w:color w:val="221F1F"/>
        </w:rPr>
      </w:pPr>
    </w:p>
    <w:p w:rsidR="00F472C3" w:rsidRPr="00F472C3" w:rsidRDefault="00F472C3" w:rsidP="00F472C3">
      <w:pPr>
        <w:bidi w:val="0"/>
        <w:spacing w:line="360" w:lineRule="auto"/>
        <w:ind w:right="26"/>
        <w:jc w:val="both"/>
        <w:rPr>
          <w:rFonts w:asciiTheme="majorBidi" w:hAnsiTheme="majorBidi" w:cstheme="majorBidi"/>
          <w:bCs/>
          <w:sz w:val="28"/>
          <w:szCs w:val="28"/>
          <w:lang w:bidi="ar-EG"/>
        </w:rPr>
      </w:pPr>
      <w:proofErr w:type="gramStart"/>
      <w:r w:rsidRPr="00F472C3">
        <w:rPr>
          <w:rFonts w:asciiTheme="majorBidi" w:hAnsiTheme="majorBidi" w:cstheme="majorBidi"/>
          <w:bCs/>
          <w:sz w:val="28"/>
          <w:szCs w:val="28"/>
          <w:lang w:bidi="ar-EG"/>
        </w:rPr>
        <w:t>Table 2.</w:t>
      </w:r>
      <w:proofErr w:type="gramEnd"/>
      <w:r w:rsidRPr="00F472C3">
        <w:rPr>
          <w:rFonts w:asciiTheme="majorBidi" w:hAnsiTheme="majorBidi" w:cstheme="majorBidi"/>
          <w:bCs/>
          <w:sz w:val="28"/>
          <w:szCs w:val="28"/>
          <w:lang w:bidi="ar-EG"/>
        </w:rPr>
        <w:t xml:space="preserve"> Instructions for Prevention of Poisoning in Different Quarters of the Household (</w:t>
      </w:r>
      <w:r w:rsidRPr="00F472C3">
        <w:rPr>
          <w:rFonts w:asciiTheme="majorBidi" w:hAnsiTheme="majorBidi" w:cstheme="majorBidi"/>
          <w:b/>
          <w:sz w:val="28"/>
          <w:szCs w:val="28"/>
          <w:lang w:bidi="ar-EG"/>
        </w:rPr>
        <w:t>Wang et al., 2017</w:t>
      </w:r>
      <w:r w:rsidRPr="00F472C3">
        <w:rPr>
          <w:rFonts w:asciiTheme="majorBidi" w:hAnsiTheme="majorBidi" w:cstheme="majorBidi"/>
          <w:bCs/>
          <w:sz w:val="28"/>
          <w:szCs w:val="28"/>
          <w:lang w:bidi="ar-EG"/>
        </w:rPr>
        <w:t>)</w:t>
      </w:r>
    </w:p>
    <w:tbl>
      <w:tblPr>
        <w:tblStyle w:val="TableGrid"/>
        <w:tblW w:w="0" w:type="auto"/>
        <w:tblLook w:val="04A0" w:firstRow="1" w:lastRow="0" w:firstColumn="1" w:lastColumn="0" w:noHBand="0" w:noVBand="1"/>
      </w:tblPr>
      <w:tblGrid>
        <w:gridCol w:w="2186"/>
        <w:gridCol w:w="7056"/>
      </w:tblGrid>
      <w:tr w:rsidR="00F472C3" w:rsidRPr="00F472C3" w:rsidTr="002446D5">
        <w:tc>
          <w:tcPr>
            <w:tcW w:w="218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Area</w:t>
            </w: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Prevention approach</w:t>
            </w:r>
          </w:p>
        </w:tc>
      </w:tr>
      <w:tr w:rsidR="00F472C3" w:rsidRPr="00F472C3" w:rsidTr="002446D5">
        <w:tc>
          <w:tcPr>
            <w:tcW w:w="2186" w:type="dxa"/>
            <w:vMerge w:val="restart"/>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Kitchen</w:t>
            </w: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Store detergents, oven cleaners, and drain cleaners on higher shelves.</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Store safe items in cabinets and drawers that are within the child's reach.</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Install child-guard latches on cabinet doors and drawers that contain dangerous items.</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Avoid storage of chemicals in the refrigerator.</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 xml:space="preserve">Do not use insecticides, traps, or baits in locations to which children </w:t>
            </w:r>
            <w:proofErr w:type="gramStart"/>
            <w:r w:rsidRPr="00F472C3">
              <w:rPr>
                <w:rFonts w:asciiTheme="majorBidi" w:hAnsiTheme="majorBidi" w:cstheme="majorBidi"/>
                <w:bCs/>
                <w:sz w:val="28"/>
                <w:szCs w:val="28"/>
                <w:lang w:bidi="ar-EG"/>
              </w:rPr>
              <w:t>have access</w:t>
            </w:r>
            <w:proofErr w:type="gramEnd"/>
            <w:r w:rsidRPr="00F472C3">
              <w:rPr>
                <w:rFonts w:asciiTheme="majorBidi" w:hAnsiTheme="majorBidi" w:cstheme="majorBidi"/>
                <w:bCs/>
                <w:sz w:val="28"/>
                <w:szCs w:val="28"/>
                <w:lang w:bidi="ar-EG"/>
              </w:rPr>
              <w:t>.</w:t>
            </w:r>
          </w:p>
        </w:tc>
      </w:tr>
      <w:tr w:rsidR="00F472C3" w:rsidRPr="00F472C3" w:rsidTr="002446D5">
        <w:tc>
          <w:tcPr>
            <w:tcW w:w="2186" w:type="dxa"/>
            <w:vMerge w:val="restart"/>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Bathroom</w:t>
            </w: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Store medications out of sight and out of reach, preferably in a locked cabinet, box, or closet.</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Store perfumes, colognes, cosmetics, and hair care products out of sight and out of reach (</w:t>
            </w:r>
            <w:proofErr w:type="spellStart"/>
            <w:r w:rsidRPr="00F472C3">
              <w:rPr>
                <w:rFonts w:asciiTheme="majorBidi" w:hAnsiTheme="majorBidi" w:cstheme="majorBidi"/>
                <w:bCs/>
                <w:sz w:val="28"/>
                <w:szCs w:val="28"/>
                <w:lang w:bidi="ar-EG"/>
              </w:rPr>
              <w:t>eg</w:t>
            </w:r>
            <w:proofErr w:type="spellEnd"/>
            <w:r w:rsidRPr="00F472C3">
              <w:rPr>
                <w:rFonts w:asciiTheme="majorBidi" w:hAnsiTheme="majorBidi" w:cstheme="majorBidi"/>
                <w:bCs/>
                <w:sz w:val="28"/>
                <w:szCs w:val="28"/>
                <w:lang w:bidi="ar-EG"/>
              </w:rPr>
              <w:t>, on upper shelves or in locked containers).</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 xml:space="preserve">Do not use insecticides, traps, or baits in locations to which children </w:t>
            </w:r>
            <w:proofErr w:type="gramStart"/>
            <w:r w:rsidRPr="00F472C3">
              <w:rPr>
                <w:rFonts w:asciiTheme="majorBidi" w:hAnsiTheme="majorBidi" w:cstheme="majorBidi"/>
                <w:bCs/>
                <w:sz w:val="28"/>
                <w:szCs w:val="28"/>
                <w:lang w:bidi="ar-EG"/>
              </w:rPr>
              <w:t>have access</w:t>
            </w:r>
            <w:proofErr w:type="gramEnd"/>
            <w:r w:rsidRPr="00F472C3">
              <w:rPr>
                <w:rFonts w:asciiTheme="majorBidi" w:hAnsiTheme="majorBidi" w:cstheme="majorBidi"/>
                <w:bCs/>
                <w:sz w:val="28"/>
                <w:szCs w:val="28"/>
                <w:lang w:bidi="ar-EG"/>
              </w:rPr>
              <w:t>.</w:t>
            </w:r>
          </w:p>
        </w:tc>
      </w:tr>
      <w:tr w:rsidR="00F472C3" w:rsidRPr="00F472C3" w:rsidTr="002446D5">
        <w:tc>
          <w:tcPr>
            <w:tcW w:w="2186" w:type="dxa"/>
            <w:vMerge w:val="restart"/>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Bedrooms</w:t>
            </w: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Store medications and contraceptives out of sight and out of reach, preferably in a locked cabinet, box, or closet.</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Store perfumes, colognes, cosmetics, and hair care products out of sight and out of reach (</w:t>
            </w:r>
            <w:proofErr w:type="spellStart"/>
            <w:r w:rsidRPr="00F472C3">
              <w:rPr>
                <w:rFonts w:asciiTheme="majorBidi" w:hAnsiTheme="majorBidi" w:cstheme="majorBidi"/>
                <w:bCs/>
                <w:sz w:val="28"/>
                <w:szCs w:val="28"/>
                <w:lang w:bidi="ar-EG"/>
              </w:rPr>
              <w:t>eg</w:t>
            </w:r>
            <w:proofErr w:type="spellEnd"/>
            <w:r w:rsidRPr="00F472C3">
              <w:rPr>
                <w:rFonts w:asciiTheme="majorBidi" w:hAnsiTheme="majorBidi" w:cstheme="majorBidi"/>
                <w:bCs/>
                <w:sz w:val="28"/>
                <w:szCs w:val="28"/>
                <w:lang w:bidi="ar-EG"/>
              </w:rPr>
              <w:t>, on upper shelves or in locked containers).</w:t>
            </w:r>
          </w:p>
        </w:tc>
      </w:tr>
      <w:tr w:rsidR="00F472C3" w:rsidRPr="00F472C3" w:rsidTr="002446D5">
        <w:tc>
          <w:tcPr>
            <w:tcW w:w="2186" w:type="dxa"/>
            <w:vMerge w:val="restart"/>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Living and dining rooms</w:t>
            </w: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Remove toxic plants or keep them out of reach.</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 xml:space="preserve">Keep tobacco products, lighters, and matches out of sight and out of reach. This includes electronic cigarettes and </w:t>
            </w:r>
            <w:r w:rsidRPr="00F472C3">
              <w:rPr>
                <w:rFonts w:asciiTheme="majorBidi" w:hAnsiTheme="majorBidi" w:cstheme="majorBidi"/>
                <w:bCs/>
                <w:sz w:val="28"/>
                <w:szCs w:val="28"/>
                <w:lang w:bidi="ar-EG"/>
              </w:rPr>
              <w:lastRenderedPageBreak/>
              <w:t>nicotine refill cartridges.</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Keep alcohol in a locked cabinet; dispose of partially consumed drinks.</w:t>
            </w:r>
          </w:p>
        </w:tc>
      </w:tr>
      <w:tr w:rsidR="00F472C3" w:rsidRPr="00F472C3" w:rsidTr="002446D5">
        <w:tc>
          <w:tcPr>
            <w:tcW w:w="218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Laundry</w:t>
            </w: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Keep cleaning supplies out of reach.</w:t>
            </w:r>
          </w:p>
        </w:tc>
      </w:tr>
      <w:tr w:rsidR="00F472C3" w:rsidRPr="00F472C3" w:rsidTr="002446D5">
        <w:tc>
          <w:tcPr>
            <w:tcW w:w="2186" w:type="dxa"/>
            <w:vMerge w:val="restart"/>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Garage/basement</w:t>
            </w: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Store paints, solvents, insecticides, herbicides, and chemicals for use in hobbies in locked cabinets; always store these materials in the original containers.</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 xml:space="preserve">Do not use insecticides, traps, or baits in locations to which children </w:t>
            </w:r>
            <w:proofErr w:type="gramStart"/>
            <w:r w:rsidRPr="00F472C3">
              <w:rPr>
                <w:rFonts w:asciiTheme="majorBidi" w:hAnsiTheme="majorBidi" w:cstheme="majorBidi"/>
                <w:bCs/>
                <w:sz w:val="28"/>
                <w:szCs w:val="28"/>
                <w:lang w:bidi="ar-EG"/>
              </w:rPr>
              <w:t>have access</w:t>
            </w:r>
            <w:proofErr w:type="gramEnd"/>
            <w:r w:rsidRPr="00F472C3">
              <w:rPr>
                <w:rFonts w:asciiTheme="majorBidi" w:hAnsiTheme="majorBidi" w:cstheme="majorBidi"/>
                <w:bCs/>
                <w:sz w:val="28"/>
                <w:szCs w:val="28"/>
                <w:lang w:bidi="ar-EG"/>
              </w:rPr>
              <w:t>.</w:t>
            </w:r>
          </w:p>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Install a carbon monoxide detector.</w:t>
            </w:r>
          </w:p>
        </w:tc>
      </w:tr>
      <w:tr w:rsidR="00F472C3" w:rsidRPr="00F472C3" w:rsidTr="002446D5">
        <w:tc>
          <w:tcPr>
            <w:tcW w:w="2186" w:type="dxa"/>
            <w:vMerge w:val="restart"/>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Outdoor areas</w:t>
            </w: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Identify toxic plants, berries, and bulbs.</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Do not leave unplanted bulbs in areas to which children have access.</w:t>
            </w:r>
          </w:p>
        </w:tc>
      </w:tr>
      <w:tr w:rsidR="00F472C3" w:rsidRPr="00F472C3" w:rsidTr="002446D5">
        <w:tc>
          <w:tcPr>
            <w:tcW w:w="2186" w:type="dxa"/>
            <w:vMerge w:val="restart"/>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Other areas</w:t>
            </w: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Check and secure (with tape) battery compartments on household products.</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Store batteries out of the reach and sight of children.</w:t>
            </w:r>
          </w:p>
        </w:tc>
      </w:tr>
      <w:tr w:rsidR="00F472C3" w:rsidRPr="00F472C3" w:rsidTr="002446D5">
        <w:tc>
          <w:tcPr>
            <w:tcW w:w="2186" w:type="dxa"/>
            <w:vMerge/>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p>
        </w:tc>
        <w:tc>
          <w:tcPr>
            <w:tcW w:w="7056" w:type="dxa"/>
          </w:tcPr>
          <w:p w:rsidR="00F472C3" w:rsidRPr="00F472C3" w:rsidRDefault="00F472C3" w:rsidP="00F472C3">
            <w:pPr>
              <w:bidi w:val="0"/>
              <w:spacing w:line="240" w:lineRule="auto"/>
              <w:ind w:right="26"/>
              <w:jc w:val="both"/>
              <w:rPr>
                <w:rFonts w:asciiTheme="majorBidi" w:hAnsiTheme="majorBidi" w:cstheme="majorBidi"/>
                <w:bCs/>
                <w:sz w:val="28"/>
                <w:szCs w:val="28"/>
                <w:lang w:bidi="ar-EG"/>
              </w:rPr>
            </w:pPr>
            <w:r w:rsidRPr="00F472C3">
              <w:rPr>
                <w:rFonts w:asciiTheme="majorBidi" w:hAnsiTheme="majorBidi" w:cstheme="majorBidi"/>
                <w:bCs/>
                <w:sz w:val="28"/>
                <w:szCs w:val="28"/>
                <w:lang w:bidi="ar-EG"/>
              </w:rPr>
              <w:t>Do not allow children to play with batteries.</w:t>
            </w:r>
          </w:p>
        </w:tc>
      </w:tr>
    </w:tbl>
    <w:p w:rsidR="002446D5" w:rsidRPr="002446D5" w:rsidRDefault="002446D5" w:rsidP="002446D5">
      <w:pPr>
        <w:pStyle w:val="BodyText"/>
        <w:spacing w:before="87" w:line="340" w:lineRule="auto"/>
        <w:ind w:right="26" w:firstLine="540"/>
        <w:jc w:val="both"/>
        <w:rPr>
          <w:color w:val="221F1F"/>
        </w:rPr>
      </w:pPr>
      <w:r w:rsidRPr="002446D5">
        <w:rPr>
          <w:color w:val="221F1F"/>
        </w:rPr>
        <w:t>Intercessions are normally founded on risk factors that are amiable to change and that are focused on at high-risk populaces.</w:t>
      </w:r>
    </w:p>
    <w:p w:rsidR="002446D5" w:rsidRPr="002446D5" w:rsidRDefault="002446D5" w:rsidP="002446D5">
      <w:pPr>
        <w:pStyle w:val="BodyText"/>
        <w:spacing w:before="87" w:line="340" w:lineRule="auto"/>
        <w:ind w:right="26" w:firstLine="540"/>
        <w:jc w:val="both"/>
        <w:rPr>
          <w:color w:val="221F1F"/>
          <w:rtl/>
        </w:rPr>
      </w:pPr>
    </w:p>
    <w:p w:rsidR="002446D5" w:rsidRPr="002446D5" w:rsidRDefault="002446D5" w:rsidP="002446D5">
      <w:pPr>
        <w:pStyle w:val="BodyText"/>
        <w:spacing w:before="87" w:line="340" w:lineRule="auto"/>
        <w:ind w:right="26" w:firstLine="540"/>
        <w:jc w:val="both"/>
        <w:rPr>
          <w:color w:val="221F1F"/>
        </w:rPr>
      </w:pPr>
      <w:r w:rsidRPr="002446D5">
        <w:rPr>
          <w:color w:val="221F1F"/>
        </w:rPr>
        <w:t>Decrease of poisonousness</w:t>
      </w: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Eliminating a noxious substance successfully may not be imaginable all the time. An elective methodology is to bring down the level of the poisonousness of the culpable specialist or to kill it here and there. One approach to doing this is to decrease the grouping of the dynamic fixing. A strategy of selling acidic corrosive just in weakened structure prompted a fall in the pace of young life poisonings. Beforehand, concentrated vinegar had been effectively accessible, and had been answerable for a few harming </w:t>
      </w:r>
      <w:proofErr w:type="spellStart"/>
      <w:r w:rsidRPr="002446D5">
        <w:rPr>
          <w:color w:val="221F1F"/>
        </w:rPr>
        <w:t>passings</w:t>
      </w:r>
      <w:proofErr w:type="spellEnd"/>
      <w:r w:rsidRPr="002446D5">
        <w:rPr>
          <w:color w:val="221F1F"/>
        </w:rPr>
        <w:t xml:space="preserve"> (</w:t>
      </w:r>
      <w:proofErr w:type="spellStart"/>
      <w:r w:rsidRPr="002446D5">
        <w:rPr>
          <w:color w:val="221F1F"/>
        </w:rPr>
        <w:t>Litovitz</w:t>
      </w:r>
      <w:proofErr w:type="spellEnd"/>
      <w:r w:rsidRPr="002446D5">
        <w:rPr>
          <w:color w:val="221F1F"/>
        </w:rPr>
        <w:t xml:space="preserve"> et al., 2010). One more instance of bringing down harmfulness is the reformulation of methylated spirits as chiefly ethyl liquor, instead of the more </w:t>
      </w:r>
      <w:r w:rsidRPr="002446D5">
        <w:rPr>
          <w:color w:val="221F1F"/>
        </w:rPr>
        <w:lastRenderedPageBreak/>
        <w:t>poisonous methanol. Along these lines, less harmful pesticides might be utilized to forestall instances of intense pesticide harming (Caribbean The study of disease transmission Center, 1996). Nonetheless, more secure pesticides are for the most part more costly.</w:t>
      </w: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Lessening the harmful impacts of ingestible toxic substances by adding a </w:t>
      </w:r>
      <w:proofErr w:type="spellStart"/>
      <w:r w:rsidRPr="002446D5">
        <w:rPr>
          <w:color w:val="221F1F"/>
        </w:rPr>
        <w:t>counteractant</w:t>
      </w:r>
      <w:proofErr w:type="spellEnd"/>
      <w:r w:rsidRPr="002446D5">
        <w:rPr>
          <w:color w:val="221F1F"/>
        </w:rPr>
        <w:t xml:space="preserve"> to the substance has additionally been endeavored yet has not been ended up being powerful. In the Assembled Realm, </w:t>
      </w:r>
      <w:proofErr w:type="spellStart"/>
      <w:r w:rsidRPr="002446D5">
        <w:rPr>
          <w:color w:val="221F1F"/>
        </w:rPr>
        <w:t>paracetamol</w:t>
      </w:r>
      <w:proofErr w:type="spellEnd"/>
      <w:r w:rsidRPr="002446D5">
        <w:rPr>
          <w:color w:val="221F1F"/>
        </w:rPr>
        <w:t xml:space="preserve"> was made with added methionine, a </w:t>
      </w:r>
      <w:proofErr w:type="spellStart"/>
      <w:r w:rsidRPr="002446D5">
        <w:rPr>
          <w:color w:val="221F1F"/>
        </w:rPr>
        <w:t>counteractant</w:t>
      </w:r>
      <w:proofErr w:type="spellEnd"/>
      <w:r w:rsidRPr="002446D5">
        <w:rPr>
          <w:color w:val="221F1F"/>
        </w:rPr>
        <w:t xml:space="preserve"> to </w:t>
      </w:r>
      <w:proofErr w:type="spellStart"/>
      <w:r w:rsidRPr="002446D5">
        <w:rPr>
          <w:color w:val="221F1F"/>
        </w:rPr>
        <w:t>paracetamol</w:t>
      </w:r>
      <w:proofErr w:type="spellEnd"/>
      <w:r w:rsidRPr="002446D5">
        <w:rPr>
          <w:color w:val="221F1F"/>
        </w:rPr>
        <w:t xml:space="preserve"> glut (Goldman and Tran, 2002). This item, however, was removed in light of the fact that it was more costly than the </w:t>
      </w:r>
      <w:proofErr w:type="spellStart"/>
      <w:r w:rsidRPr="002446D5">
        <w:rPr>
          <w:color w:val="221F1F"/>
        </w:rPr>
        <w:t>paracetamol</w:t>
      </w:r>
      <w:proofErr w:type="spellEnd"/>
      <w:r w:rsidRPr="002446D5">
        <w:rPr>
          <w:color w:val="221F1F"/>
        </w:rPr>
        <w:t>-just details that stayed available. Also, the utilization of oral methionine was addressed, as the substance was related with unfavorably susceptible responses.</w:t>
      </w:r>
    </w:p>
    <w:p w:rsidR="002446D5" w:rsidRPr="002446D5" w:rsidRDefault="002446D5" w:rsidP="002446D5">
      <w:pPr>
        <w:pStyle w:val="BodyText"/>
        <w:spacing w:before="87" w:line="340" w:lineRule="auto"/>
        <w:ind w:right="26" w:firstLine="540"/>
        <w:jc w:val="both"/>
        <w:rPr>
          <w:color w:val="221F1F"/>
        </w:rPr>
      </w:pPr>
      <w:r w:rsidRPr="002446D5">
        <w:rPr>
          <w:color w:val="221F1F"/>
        </w:rPr>
        <w:t>More secure bundling and stockpiling</w:t>
      </w:r>
    </w:p>
    <w:p w:rsidR="002446D5" w:rsidRPr="002446D5" w:rsidRDefault="002446D5" w:rsidP="002446D5">
      <w:pPr>
        <w:pStyle w:val="BodyText"/>
        <w:spacing w:before="87" w:line="340" w:lineRule="auto"/>
        <w:ind w:right="26" w:firstLine="540"/>
        <w:jc w:val="both"/>
        <w:rPr>
          <w:color w:val="221F1F"/>
        </w:rPr>
      </w:pPr>
      <w:r w:rsidRPr="002446D5">
        <w:rPr>
          <w:color w:val="221F1F"/>
        </w:rPr>
        <w:t>The outcome in decreasing accidental kid harming through more secure bundling and stockpiling throughout the course of recent many years has depended on:</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Training of guardians and parental figures - about the dangers and how to safeguard against them;</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Regulation - to forestall inadmissible holders, (for example, are regularly used to store food or beverages) being utilized to store unsafe substances; and to make bundling around destructive substances impervious to altering by kids.</w:t>
      </w: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Kid safe bundling is quite possibly of the best-reported outcome in forestalling the unexpected harming of youngsters (Jones et al., 1997). In Britain and Ridges, unexpected harming </w:t>
      </w:r>
      <w:proofErr w:type="spellStart"/>
      <w:r w:rsidRPr="002446D5">
        <w:rPr>
          <w:color w:val="221F1F"/>
        </w:rPr>
        <w:t>passings</w:t>
      </w:r>
      <w:proofErr w:type="spellEnd"/>
      <w:r w:rsidRPr="002446D5">
        <w:rPr>
          <w:color w:val="221F1F"/>
        </w:rPr>
        <w:t xml:space="preserve"> of kids matured younger than 10 years fell consistently from 151 for each 100 000 of every 1968 to 23 for every 100 000 out of 2000 (US</w:t>
      </w:r>
    </w:p>
    <w:p w:rsidR="002446D5" w:rsidRPr="002446D5" w:rsidRDefault="002446D5" w:rsidP="002446D5">
      <w:pPr>
        <w:pStyle w:val="BodyText"/>
        <w:spacing w:before="87" w:line="340" w:lineRule="auto"/>
        <w:ind w:right="26" w:firstLine="540"/>
        <w:jc w:val="both"/>
        <w:rPr>
          <w:color w:val="221F1F"/>
          <w:rtl/>
        </w:rPr>
      </w:pPr>
    </w:p>
    <w:p w:rsidR="002446D5" w:rsidRPr="002446D5" w:rsidRDefault="002446D5" w:rsidP="002446D5">
      <w:pPr>
        <w:pStyle w:val="BodyText"/>
        <w:spacing w:before="87" w:line="340" w:lineRule="auto"/>
        <w:ind w:right="26" w:firstLine="540"/>
        <w:jc w:val="both"/>
        <w:rPr>
          <w:color w:val="221F1F"/>
        </w:rPr>
      </w:pPr>
      <w:proofErr w:type="gramStart"/>
      <w:r w:rsidRPr="002446D5">
        <w:rPr>
          <w:color w:val="221F1F"/>
        </w:rPr>
        <w:t>Buyer Item Wellbeing Commission, 2023).</w:t>
      </w:r>
      <w:proofErr w:type="gramEnd"/>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Safe capacity of toxic substances in the home requires a protected place </w:t>
      </w:r>
      <w:r w:rsidRPr="002446D5">
        <w:rPr>
          <w:color w:val="221F1F"/>
        </w:rPr>
        <w:lastRenderedPageBreak/>
        <w:t>where a kid can't beat hindrances of locks or level. In spite of the fact that kids will devise complex procedures to get hold of prescriptions, doing so takes time. The fundamental explanation, consequently, for putting away toxins far away from youngsters is that this is a postponing procedure - as to be sure is kid safe bundling.</w:t>
      </w:r>
    </w:p>
    <w:p w:rsidR="002446D5" w:rsidRPr="002446D5" w:rsidRDefault="002446D5" w:rsidP="002446D5">
      <w:pPr>
        <w:pStyle w:val="BodyText"/>
        <w:spacing w:before="87" w:line="340" w:lineRule="auto"/>
        <w:ind w:right="26" w:firstLine="540"/>
        <w:jc w:val="both"/>
        <w:rPr>
          <w:color w:val="221F1F"/>
        </w:rPr>
      </w:pPr>
      <w:r w:rsidRPr="002446D5">
        <w:rPr>
          <w:color w:val="221F1F"/>
        </w:rPr>
        <w:t>Kid safe bundling has been demonstrated powerful for prescriptions, energizes, family synthetics and pesticides. The expense for producers and merchants might be a snag, yet this is probably going to be offset by the huge investment funds from treating kids who have been inadvertently harmed. The expenses for families might be balanced by government sponsorships, like the free dissemination of such compartments (Flanagan et al., 2005). Kid safe bundling ought to be utilized on all medications sold over the counter, to assist with forestalling youngsters consuming these possibly deadly items (</w:t>
      </w:r>
      <w:proofErr w:type="spellStart"/>
      <w:r w:rsidRPr="002446D5">
        <w:rPr>
          <w:color w:val="221F1F"/>
        </w:rPr>
        <w:t>Azizi</w:t>
      </w:r>
      <w:proofErr w:type="spellEnd"/>
      <w:r w:rsidRPr="002446D5">
        <w:rPr>
          <w:color w:val="221F1F"/>
        </w:rPr>
        <w:t xml:space="preserve"> et al., 1993).</w:t>
      </w:r>
    </w:p>
    <w:p w:rsidR="002446D5" w:rsidRPr="002446D5" w:rsidRDefault="002446D5" w:rsidP="002446D5">
      <w:pPr>
        <w:pStyle w:val="BodyText"/>
        <w:spacing w:before="87" w:line="340" w:lineRule="auto"/>
        <w:ind w:right="26" w:firstLine="540"/>
        <w:jc w:val="both"/>
        <w:rPr>
          <w:color w:val="221F1F"/>
        </w:rPr>
      </w:pPr>
      <w:r w:rsidRPr="002446D5">
        <w:rPr>
          <w:color w:val="221F1F"/>
        </w:rPr>
        <w:t>Eliminating poisonous specialists</w:t>
      </w:r>
    </w:p>
    <w:p w:rsidR="002446D5" w:rsidRPr="002446D5" w:rsidRDefault="002446D5" w:rsidP="002446D5">
      <w:pPr>
        <w:pStyle w:val="BodyText"/>
        <w:spacing w:before="87" w:line="340" w:lineRule="auto"/>
        <w:ind w:right="26" w:firstLine="540"/>
        <w:jc w:val="both"/>
        <w:rPr>
          <w:color w:val="221F1F"/>
        </w:rPr>
      </w:pPr>
      <w:r w:rsidRPr="002446D5">
        <w:rPr>
          <w:color w:val="221F1F"/>
        </w:rPr>
        <w:t xml:space="preserve">The best method for forestalling youngsters coming into contact with a toxin is to eliminate the actual harm. An illustration of this is the </w:t>
      </w:r>
      <w:proofErr w:type="spellStart"/>
      <w:r w:rsidRPr="002446D5">
        <w:rPr>
          <w:color w:val="221F1F"/>
        </w:rPr>
        <w:t>Manchineel</w:t>
      </w:r>
      <w:proofErr w:type="spellEnd"/>
      <w:r w:rsidRPr="002446D5">
        <w:rPr>
          <w:color w:val="221F1F"/>
        </w:rPr>
        <w:t xml:space="preserve"> tree. The product of this tree seems to be an eatable green apple however the natural product, bark and sap are poisonous. Poisonings from the </w:t>
      </w:r>
      <w:proofErr w:type="spellStart"/>
      <w:r w:rsidRPr="002446D5">
        <w:rPr>
          <w:color w:val="221F1F"/>
        </w:rPr>
        <w:t>Manchineel</w:t>
      </w:r>
      <w:proofErr w:type="spellEnd"/>
      <w:r w:rsidRPr="002446D5">
        <w:rPr>
          <w:color w:val="221F1F"/>
        </w:rPr>
        <w:t xml:space="preserve"> tree, particularly among youngsters, used to be normal in the Caribbean, notwithstanding cautioning signs and instructive missions. At last, the trees were taken out by the specialists from the ocean side regions where they were pervasive and supplanted by coco plum trees, with a resulting fall in the quantity of harming cases.</w:t>
      </w:r>
    </w:p>
    <w:p w:rsidR="002446D5" w:rsidRPr="002446D5" w:rsidRDefault="002446D5" w:rsidP="002446D5">
      <w:pPr>
        <w:pStyle w:val="BodyText"/>
        <w:spacing w:before="87" w:line="340" w:lineRule="auto"/>
        <w:ind w:right="26" w:firstLine="540"/>
        <w:jc w:val="both"/>
        <w:rPr>
          <w:color w:val="221F1F"/>
        </w:rPr>
      </w:pPr>
      <w:r w:rsidRPr="002446D5">
        <w:rPr>
          <w:color w:val="221F1F"/>
        </w:rPr>
        <w:t>Then again, harmful specialists might be supplanted by different substances with a lower poisonousness. As specific illustrations, the accompanying exceptionally harmful substances have been to a great extent supplanted in many spots by less poisonous substances making a comparable planned difference (Flanagan et al., 2005):</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 xml:space="preserve">Barbiturates (a class of narcotic mesmerizing medications) by </w:t>
      </w:r>
      <w:r w:rsidRPr="002446D5">
        <w:rPr>
          <w:color w:val="221F1F"/>
        </w:rPr>
        <w:lastRenderedPageBreak/>
        <w:t>benzodiazepines;</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 xml:space="preserve">Cresol (an additive) by </w:t>
      </w:r>
      <w:proofErr w:type="spellStart"/>
      <w:r w:rsidRPr="002446D5">
        <w:rPr>
          <w:color w:val="221F1F"/>
        </w:rPr>
        <w:t>chlorocresol</w:t>
      </w:r>
      <w:proofErr w:type="spellEnd"/>
      <w:r w:rsidRPr="002446D5">
        <w:rPr>
          <w:color w:val="221F1F"/>
        </w:rPr>
        <w:t>;</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 xml:space="preserve">Ibuprofen by </w:t>
      </w:r>
      <w:proofErr w:type="spellStart"/>
      <w:r w:rsidRPr="002446D5">
        <w:rPr>
          <w:color w:val="221F1F"/>
        </w:rPr>
        <w:t>paracetamol</w:t>
      </w:r>
      <w:proofErr w:type="spellEnd"/>
      <w:r w:rsidRPr="002446D5">
        <w:rPr>
          <w:color w:val="221F1F"/>
        </w:rPr>
        <w:t>;</w:t>
      </w:r>
    </w:p>
    <w:p w:rsidR="002446D5" w:rsidRPr="002446D5" w:rsidRDefault="002446D5" w:rsidP="002446D5">
      <w:pPr>
        <w:pStyle w:val="BodyText"/>
        <w:spacing w:before="87" w:line="340" w:lineRule="auto"/>
        <w:ind w:right="26" w:firstLine="540"/>
        <w:jc w:val="both"/>
        <w:rPr>
          <w:color w:val="221F1F"/>
        </w:rPr>
      </w:pPr>
      <w:r w:rsidRPr="002446D5">
        <w:rPr>
          <w:color w:val="221F1F"/>
        </w:rPr>
        <w:t>•</w:t>
      </w:r>
      <w:r w:rsidRPr="002446D5">
        <w:rPr>
          <w:color w:val="221F1F"/>
        </w:rPr>
        <w:tab/>
        <w:t>Poisonous mitigating drugs with less harmful non-steroidal calming drugs.</w:t>
      </w:r>
    </w:p>
    <w:p w:rsidR="002446D5" w:rsidRDefault="002446D5" w:rsidP="002446D5">
      <w:pPr>
        <w:pStyle w:val="BodyText"/>
        <w:spacing w:before="87" w:line="340" w:lineRule="auto"/>
        <w:ind w:right="26" w:firstLine="540"/>
        <w:jc w:val="both"/>
        <w:rPr>
          <w:color w:val="221F1F"/>
        </w:rPr>
      </w:pPr>
      <w:proofErr w:type="gramStart"/>
      <w:r w:rsidRPr="002446D5">
        <w:rPr>
          <w:color w:val="221F1F"/>
        </w:rPr>
        <w:t>Some of the time the change from harmful to less poisonous substances happens as a symptom of monetary turn of events.</w:t>
      </w:r>
      <w:proofErr w:type="gramEnd"/>
      <w:r w:rsidRPr="002446D5">
        <w:rPr>
          <w:color w:val="221F1F"/>
        </w:rPr>
        <w:t xml:space="preserve"> The frequency of paraffin ingestion, for example, has been found to fall when nations move from utilizing individual fuel sources, like packaged paraffin, to more secure choices, for example, power and petroleum gas provided by open utilities (O'Donnell et al., 1998).</w:t>
      </w: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F472C3" w:rsidRDefault="00F472C3" w:rsidP="00F472C3">
      <w:pPr>
        <w:pStyle w:val="BodyText"/>
        <w:spacing w:before="87" w:line="360" w:lineRule="auto"/>
        <w:ind w:left="720" w:right="823"/>
        <w:jc w:val="both"/>
        <w:rPr>
          <w:color w:val="221F1F"/>
        </w:rPr>
      </w:pPr>
    </w:p>
    <w:p w:rsidR="00610F79" w:rsidRDefault="00610F79" w:rsidP="00F472C3">
      <w:pPr>
        <w:pStyle w:val="BodyText"/>
        <w:spacing w:before="87" w:line="360" w:lineRule="auto"/>
        <w:ind w:right="823"/>
        <w:jc w:val="both"/>
        <w:rPr>
          <w:color w:val="221F1F"/>
        </w:rPr>
        <w:sectPr w:rsidR="00610F79" w:rsidSect="004371C0">
          <w:headerReference w:type="default" r:id="rId27"/>
          <w:pgSz w:w="11906" w:h="16838"/>
          <w:pgMar w:top="1440" w:right="1440" w:bottom="810" w:left="1440" w:header="708" w:footer="708" w:gutter="0"/>
          <w:cols w:space="708"/>
          <w:bidi/>
          <w:rtlGutter/>
          <w:docGrid w:linePitch="360"/>
        </w:sectPr>
      </w:pPr>
    </w:p>
    <w:p w:rsidR="00F472C3" w:rsidRPr="00161ABC" w:rsidRDefault="00F472C3" w:rsidP="00610F79">
      <w:pPr>
        <w:pStyle w:val="BodyText"/>
        <w:spacing w:before="87" w:line="360" w:lineRule="auto"/>
        <w:ind w:right="823"/>
        <w:jc w:val="center"/>
        <w:rPr>
          <w:b/>
          <w:bCs/>
          <w:color w:val="221F1F"/>
          <w:sz w:val="44"/>
          <w:szCs w:val="44"/>
        </w:rPr>
      </w:pPr>
      <w:r w:rsidRPr="00F472C3">
        <w:rPr>
          <w:b/>
          <w:bCs/>
          <w:color w:val="221F1F"/>
          <w:sz w:val="44"/>
          <w:szCs w:val="44"/>
        </w:rPr>
        <w:lastRenderedPageBreak/>
        <w:t>Chapter (6)</w:t>
      </w:r>
    </w:p>
    <w:p w:rsidR="00161ABC" w:rsidRDefault="00161ABC" w:rsidP="00161ABC">
      <w:pPr>
        <w:pStyle w:val="BodyText"/>
        <w:spacing w:before="87" w:line="360" w:lineRule="auto"/>
        <w:ind w:right="823"/>
        <w:jc w:val="center"/>
        <w:rPr>
          <w:b/>
          <w:bCs/>
          <w:color w:val="221F1F"/>
          <w:sz w:val="44"/>
          <w:szCs w:val="44"/>
        </w:rPr>
      </w:pPr>
      <w:r w:rsidRPr="00161ABC">
        <w:rPr>
          <w:b/>
          <w:bCs/>
          <w:color w:val="221F1F"/>
          <w:sz w:val="44"/>
          <w:szCs w:val="44"/>
        </w:rPr>
        <w:t>Management of Pediatric Poisoning</w:t>
      </w:r>
    </w:p>
    <w:p w:rsidR="00161ABC" w:rsidRPr="00161ABC" w:rsidRDefault="00161ABC" w:rsidP="00161ABC">
      <w:pPr>
        <w:bidi w:val="0"/>
        <w:spacing w:line="360" w:lineRule="auto"/>
        <w:jc w:val="both"/>
        <w:rPr>
          <w:rFonts w:asciiTheme="majorBidi" w:hAnsiTheme="majorBidi" w:cstheme="majorBidi"/>
          <w:bCs/>
          <w:sz w:val="28"/>
          <w:szCs w:val="28"/>
          <w:lang w:bidi="ar-EG"/>
        </w:rPr>
      </w:pPr>
    </w:p>
    <w:p w:rsidR="00161ABC" w:rsidRPr="00161ABC" w:rsidRDefault="00161ABC" w:rsidP="00161ABC">
      <w:pPr>
        <w:bidi w:val="0"/>
        <w:spacing w:line="36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1 - SUPPORTIVE MANAGEMENT (ABCD)</w:t>
      </w:r>
    </w:p>
    <w:p w:rsidR="002446D5" w:rsidRDefault="002446D5" w:rsidP="002446D5">
      <w:pPr>
        <w:pStyle w:val="BodyText"/>
        <w:spacing w:before="87" w:line="340" w:lineRule="auto"/>
        <w:ind w:right="26" w:firstLine="540"/>
        <w:jc w:val="both"/>
        <w:rPr>
          <w:color w:val="221F1F"/>
        </w:rPr>
      </w:pPr>
      <w:r w:rsidRPr="002446D5">
        <w:rPr>
          <w:color w:val="221F1F"/>
        </w:rPr>
        <w:t>Introductory administration ought to zero in on evaluation of ABCD (Aviation route, Breathing, and Course, and Handicap). Despondency of the focal sensory system is a typical side effect. This might prompt aviation route split the difference, respiratory disappointment, or desire. Subtleties can be tracked down in Figure 3.</w:t>
      </w:r>
    </w:p>
    <w:p w:rsidR="00161ABC" w:rsidRPr="00161ABC" w:rsidRDefault="00161ABC" w:rsidP="00161ABC">
      <w:pPr>
        <w:bidi w:val="0"/>
        <w:spacing w:line="360" w:lineRule="auto"/>
        <w:ind w:left="-360"/>
        <w:jc w:val="center"/>
        <w:rPr>
          <w:rFonts w:asciiTheme="majorBidi" w:hAnsiTheme="majorBidi" w:cstheme="majorBidi"/>
          <w:bCs/>
          <w:sz w:val="28"/>
          <w:szCs w:val="28"/>
          <w:lang w:bidi="ar-EG"/>
        </w:rPr>
      </w:pPr>
      <w:r w:rsidRPr="00161ABC">
        <w:rPr>
          <w:rFonts w:asciiTheme="majorBidi" w:hAnsiTheme="majorBidi" w:cstheme="majorBidi"/>
          <w:noProof/>
          <w:sz w:val="28"/>
          <w:szCs w:val="28"/>
        </w:rPr>
        <w:drawing>
          <wp:inline distT="0" distB="0" distL="0" distR="0" wp14:anchorId="2D01FA96" wp14:editId="24D78A34">
            <wp:extent cx="6241415" cy="4724400"/>
            <wp:effectExtent l="0" t="0" r="6985" b="0"/>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5709" cy="4750359"/>
                    </a:xfrm>
                    <a:prstGeom prst="rect">
                      <a:avLst/>
                    </a:prstGeom>
                    <a:noFill/>
                    <a:ln>
                      <a:noFill/>
                    </a:ln>
                  </pic:spPr>
                </pic:pic>
              </a:graphicData>
            </a:graphic>
          </wp:inline>
        </w:drawing>
      </w:r>
    </w:p>
    <w:p w:rsidR="002446D5" w:rsidRPr="002446D5" w:rsidRDefault="002446D5" w:rsidP="002446D5">
      <w:pPr>
        <w:bidi w:val="0"/>
        <w:spacing w:line="360" w:lineRule="auto"/>
        <w:jc w:val="both"/>
        <w:rPr>
          <w:rFonts w:asciiTheme="majorBidi" w:hAnsiTheme="majorBidi" w:cstheme="majorBidi"/>
          <w:bCs/>
          <w:sz w:val="28"/>
          <w:szCs w:val="28"/>
          <w:lang w:bidi="ar-EG"/>
        </w:rPr>
      </w:pPr>
      <w:proofErr w:type="gramStart"/>
      <w:r w:rsidRPr="002446D5">
        <w:rPr>
          <w:rFonts w:asciiTheme="majorBidi" w:hAnsiTheme="majorBidi" w:cstheme="majorBidi"/>
          <w:bCs/>
          <w:sz w:val="28"/>
          <w:szCs w:val="28"/>
          <w:lang w:bidi="ar-EG"/>
        </w:rPr>
        <w:t>Figure 3.</w:t>
      </w:r>
      <w:proofErr w:type="gramEnd"/>
      <w:r w:rsidRPr="002446D5">
        <w:rPr>
          <w:rFonts w:asciiTheme="majorBidi" w:hAnsiTheme="majorBidi" w:cstheme="majorBidi"/>
          <w:bCs/>
          <w:sz w:val="28"/>
          <w:szCs w:val="28"/>
          <w:lang w:bidi="ar-EG"/>
        </w:rPr>
        <w:t xml:space="preserve"> BLS Medical services Supplier Pediatric Heart failure Calculation for the Single Hero — 2015 Update (Atkins et al., 2015).</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lastRenderedPageBreak/>
        <w:t>2 - Sterilization</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Sterilization is the evacuation or decrease of unsafe substances from the casualty's body. The objective of sterilization is to guarantee that the harmful substance, whether synthetic, natural, or radiological, is as of now not in that frame of mind with the patient. This forestalls further ingestion by the patient and will diminish the chance of move of the poison to medical services laborers (Houston and Hendrickson, 2005).</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Techniques for cleaning incorporate the accompanying:</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A)</w:t>
      </w:r>
      <w:r w:rsidRPr="002446D5">
        <w:rPr>
          <w:rFonts w:asciiTheme="majorBidi" w:hAnsiTheme="majorBidi" w:cstheme="majorBidi"/>
          <w:bCs/>
          <w:sz w:val="28"/>
          <w:szCs w:val="28"/>
          <w:lang w:bidi="ar-EG"/>
        </w:rPr>
        <w:tab/>
        <w:t>Emesis:</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Generally performed assuming time since harming is short of what one hour yet is contraindicated in the accompanying sorts of harming:</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i.</w:t>
      </w:r>
      <w:r w:rsidRPr="002446D5">
        <w:rPr>
          <w:rFonts w:asciiTheme="majorBidi" w:hAnsiTheme="majorBidi" w:cstheme="majorBidi"/>
          <w:bCs/>
          <w:sz w:val="28"/>
          <w:szCs w:val="28"/>
          <w:lang w:bidi="ar-EG"/>
        </w:rPr>
        <w:tab/>
        <w:t>Corrosives as acids and antacid because of hazard of hole.</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ii.</w:t>
      </w:r>
      <w:r w:rsidRPr="002446D5">
        <w:rPr>
          <w:rFonts w:asciiTheme="majorBidi" w:hAnsiTheme="majorBidi" w:cstheme="majorBidi"/>
          <w:bCs/>
          <w:sz w:val="28"/>
          <w:szCs w:val="28"/>
          <w:lang w:bidi="ar-EG"/>
        </w:rPr>
        <w:tab/>
      </w:r>
      <w:proofErr w:type="spellStart"/>
      <w:r w:rsidRPr="002446D5">
        <w:rPr>
          <w:rFonts w:asciiTheme="majorBidi" w:hAnsiTheme="majorBidi" w:cstheme="majorBidi"/>
          <w:bCs/>
          <w:sz w:val="28"/>
          <w:szCs w:val="28"/>
          <w:lang w:bidi="ar-EG"/>
        </w:rPr>
        <w:t>Convulsants</w:t>
      </w:r>
      <w:proofErr w:type="spellEnd"/>
      <w:r w:rsidRPr="002446D5">
        <w:rPr>
          <w:rFonts w:asciiTheme="majorBidi" w:hAnsiTheme="majorBidi" w:cstheme="majorBidi"/>
          <w:bCs/>
          <w:sz w:val="28"/>
          <w:szCs w:val="28"/>
          <w:lang w:bidi="ar-EG"/>
        </w:rPr>
        <w:t xml:space="preserve"> as may cause fits.</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iii.</w:t>
      </w:r>
      <w:r w:rsidRPr="002446D5">
        <w:rPr>
          <w:rFonts w:asciiTheme="majorBidi" w:hAnsiTheme="majorBidi" w:cstheme="majorBidi"/>
          <w:bCs/>
          <w:sz w:val="28"/>
          <w:szCs w:val="28"/>
          <w:lang w:bidi="ar-EG"/>
        </w:rPr>
        <w:tab/>
        <w:t>Hydrocarbons as may cause hazard of inward breath.</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iv.</w:t>
      </w:r>
      <w:r w:rsidRPr="002446D5">
        <w:rPr>
          <w:rFonts w:asciiTheme="majorBidi" w:hAnsiTheme="majorBidi" w:cstheme="majorBidi"/>
          <w:bCs/>
          <w:sz w:val="28"/>
          <w:szCs w:val="28"/>
          <w:lang w:bidi="ar-EG"/>
        </w:rPr>
        <w:tab/>
        <w:t>Foaming specialists.</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v.</w:t>
      </w:r>
      <w:r w:rsidRPr="002446D5">
        <w:rPr>
          <w:rFonts w:asciiTheme="majorBidi" w:hAnsiTheme="majorBidi" w:cstheme="majorBidi"/>
          <w:bCs/>
          <w:sz w:val="28"/>
          <w:szCs w:val="28"/>
          <w:lang w:bidi="ar-EG"/>
        </w:rPr>
        <w:tab/>
        <w:t>Sharp objects</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vi.</w:t>
      </w:r>
      <w:r w:rsidRPr="002446D5">
        <w:rPr>
          <w:rFonts w:asciiTheme="majorBidi" w:hAnsiTheme="majorBidi" w:cstheme="majorBidi"/>
          <w:bCs/>
          <w:sz w:val="28"/>
          <w:szCs w:val="28"/>
          <w:lang w:bidi="ar-EG"/>
        </w:rPr>
        <w:tab/>
        <w:t>Patients in trance like state or effectively writhing to stay away from hazard of yearning pneumonia.</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vii.</w:t>
      </w:r>
      <w:r w:rsidRPr="002446D5">
        <w:rPr>
          <w:rFonts w:asciiTheme="majorBidi" w:hAnsiTheme="majorBidi" w:cstheme="majorBidi"/>
          <w:bCs/>
          <w:sz w:val="28"/>
          <w:szCs w:val="28"/>
          <w:lang w:bidi="ar-EG"/>
        </w:rPr>
        <w:tab/>
        <w:t>Decreased or missing gag reflex.</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viii.</w:t>
      </w:r>
      <w:r w:rsidRPr="002446D5">
        <w:rPr>
          <w:rFonts w:asciiTheme="majorBidi" w:hAnsiTheme="majorBidi" w:cstheme="majorBidi"/>
          <w:bCs/>
          <w:sz w:val="28"/>
          <w:szCs w:val="28"/>
          <w:lang w:bidi="ar-EG"/>
        </w:rPr>
        <w:tab/>
        <w:t>Severe cardiovascular or respiratory illness (Albertson et al., 2011).</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B)</w:t>
      </w:r>
      <w:r w:rsidRPr="002446D5">
        <w:rPr>
          <w:rFonts w:asciiTheme="majorBidi" w:hAnsiTheme="majorBidi" w:cstheme="majorBidi"/>
          <w:bCs/>
          <w:sz w:val="28"/>
          <w:szCs w:val="28"/>
          <w:lang w:bidi="ar-EG"/>
        </w:rPr>
        <w:tab/>
        <w:t>Gastric Lavage:</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 xml:space="preserve">Generally finished in the event that time since harming is under two hours however should be possible later in harms that structure solidifications as </w:t>
      </w:r>
      <w:r w:rsidRPr="002446D5">
        <w:rPr>
          <w:rFonts w:asciiTheme="majorBidi" w:hAnsiTheme="majorBidi" w:cstheme="majorBidi"/>
          <w:bCs/>
          <w:sz w:val="28"/>
          <w:szCs w:val="28"/>
          <w:lang w:bidi="ar-EG"/>
        </w:rPr>
        <w:lastRenderedPageBreak/>
        <w:t>salicylates or iron tablets or toxins that are killed in the GIT as narcotics and liquor. It is contraindicated in destructive harming because of hazard of hole of throat or stomach (Greene et al., 2008).</w:t>
      </w:r>
    </w:p>
    <w:p w:rsidR="002446D5" w:rsidRPr="002446D5" w:rsidRDefault="002446D5" w:rsidP="002446D5">
      <w:pPr>
        <w:bidi w:val="0"/>
        <w:spacing w:line="360" w:lineRule="auto"/>
        <w:jc w:val="both"/>
        <w:rPr>
          <w:rFonts w:asciiTheme="majorBidi" w:hAnsiTheme="majorBidi" w:cstheme="majorBidi"/>
          <w:bCs/>
          <w:sz w:val="28"/>
          <w:szCs w:val="28"/>
          <w:rtl/>
          <w:lang w:bidi="ar-EG"/>
        </w:rPr>
      </w:pP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C)</w:t>
      </w:r>
      <w:r w:rsidRPr="002446D5">
        <w:rPr>
          <w:rFonts w:asciiTheme="majorBidi" w:hAnsiTheme="majorBidi" w:cstheme="majorBidi"/>
          <w:bCs/>
          <w:sz w:val="28"/>
          <w:szCs w:val="28"/>
          <w:lang w:bidi="ar-EG"/>
        </w:rPr>
        <w:tab/>
        <w:t>Diuresis:</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w:t>
      </w:r>
      <w:r w:rsidRPr="002446D5">
        <w:rPr>
          <w:rFonts w:asciiTheme="majorBidi" w:hAnsiTheme="majorBidi" w:cstheme="majorBidi"/>
          <w:bCs/>
          <w:sz w:val="28"/>
          <w:szCs w:val="28"/>
          <w:lang w:bidi="ar-EG"/>
        </w:rPr>
        <w:tab/>
        <w:t xml:space="preserve">Through osmotic diuresis utilizing </w:t>
      </w:r>
      <w:proofErr w:type="spellStart"/>
      <w:r w:rsidRPr="002446D5">
        <w:rPr>
          <w:rFonts w:asciiTheme="majorBidi" w:hAnsiTheme="majorBidi" w:cstheme="majorBidi"/>
          <w:bCs/>
          <w:sz w:val="28"/>
          <w:szCs w:val="28"/>
          <w:lang w:bidi="ar-EG"/>
        </w:rPr>
        <w:t>Mannitol</w:t>
      </w:r>
      <w:proofErr w:type="spellEnd"/>
      <w:r w:rsidRPr="002446D5">
        <w:rPr>
          <w:rFonts w:asciiTheme="majorBidi" w:hAnsiTheme="majorBidi" w:cstheme="majorBidi"/>
          <w:bCs/>
          <w:sz w:val="28"/>
          <w:szCs w:val="28"/>
          <w:lang w:bidi="ar-EG"/>
        </w:rPr>
        <w:t xml:space="preserve"> or by modification of pee pH:</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w:t>
      </w:r>
      <w:r w:rsidRPr="002446D5">
        <w:rPr>
          <w:rFonts w:asciiTheme="majorBidi" w:hAnsiTheme="majorBidi" w:cstheme="majorBidi"/>
          <w:bCs/>
          <w:sz w:val="28"/>
          <w:szCs w:val="28"/>
          <w:lang w:bidi="ar-EG"/>
        </w:rPr>
        <w:tab/>
        <w:t xml:space="preserve">Frail acidic medications are wiped out by </w:t>
      </w:r>
      <w:proofErr w:type="spellStart"/>
      <w:r w:rsidRPr="002446D5">
        <w:rPr>
          <w:rFonts w:asciiTheme="majorBidi" w:hAnsiTheme="majorBidi" w:cstheme="majorBidi"/>
          <w:bCs/>
          <w:sz w:val="28"/>
          <w:szCs w:val="28"/>
          <w:lang w:bidi="ar-EG"/>
        </w:rPr>
        <w:t>alkalinization</w:t>
      </w:r>
      <w:proofErr w:type="spellEnd"/>
      <w:r w:rsidRPr="002446D5">
        <w:rPr>
          <w:rFonts w:asciiTheme="majorBidi" w:hAnsiTheme="majorBidi" w:cstheme="majorBidi"/>
          <w:bCs/>
          <w:sz w:val="28"/>
          <w:szCs w:val="28"/>
          <w:lang w:bidi="ar-EG"/>
        </w:rPr>
        <w:t xml:space="preserve"> of the pee.</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w:t>
      </w:r>
      <w:r w:rsidRPr="002446D5">
        <w:rPr>
          <w:rFonts w:asciiTheme="majorBidi" w:hAnsiTheme="majorBidi" w:cstheme="majorBidi"/>
          <w:bCs/>
          <w:sz w:val="28"/>
          <w:szCs w:val="28"/>
          <w:lang w:bidi="ar-EG"/>
        </w:rPr>
        <w:tab/>
        <w:t>Frail salt medications are dispensed with by fermentation of the pee.</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D)</w:t>
      </w:r>
      <w:r w:rsidRPr="002446D5">
        <w:rPr>
          <w:rFonts w:asciiTheme="majorBidi" w:hAnsiTheme="majorBidi" w:cstheme="majorBidi"/>
          <w:bCs/>
          <w:sz w:val="28"/>
          <w:szCs w:val="28"/>
          <w:lang w:bidi="ar-EG"/>
        </w:rPr>
        <w:tab/>
        <w:t>Dialysis:</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Permits blood to be separated of toxins which have the accompanying properties:</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i.</w:t>
      </w:r>
      <w:r w:rsidRPr="002446D5">
        <w:rPr>
          <w:rFonts w:asciiTheme="majorBidi" w:hAnsiTheme="majorBidi" w:cstheme="majorBidi"/>
          <w:bCs/>
          <w:sz w:val="28"/>
          <w:szCs w:val="28"/>
          <w:lang w:bidi="ar-EG"/>
        </w:rPr>
        <w:tab/>
        <w:t>Small volume of conveyance.</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ii.</w:t>
      </w:r>
      <w:r w:rsidRPr="002446D5">
        <w:rPr>
          <w:rFonts w:asciiTheme="majorBidi" w:hAnsiTheme="majorBidi" w:cstheme="majorBidi"/>
          <w:bCs/>
          <w:sz w:val="28"/>
          <w:szCs w:val="28"/>
          <w:lang w:bidi="ar-EG"/>
        </w:rPr>
        <w:tab/>
        <w:t>Low protein restricting.</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iii.</w:t>
      </w:r>
      <w:r w:rsidRPr="002446D5">
        <w:rPr>
          <w:rFonts w:asciiTheme="majorBidi" w:hAnsiTheme="majorBidi" w:cstheme="majorBidi"/>
          <w:bCs/>
          <w:sz w:val="28"/>
          <w:szCs w:val="28"/>
          <w:lang w:bidi="ar-EG"/>
        </w:rPr>
        <w:tab/>
        <w:t>Small atomic weight (Winchester, 2002).</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3 - Remedy</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 xml:space="preserve">Coming up next is a rundown of normal </w:t>
      </w:r>
      <w:proofErr w:type="spellStart"/>
      <w:r w:rsidRPr="002446D5">
        <w:rPr>
          <w:rFonts w:asciiTheme="majorBidi" w:hAnsiTheme="majorBidi" w:cstheme="majorBidi"/>
          <w:bCs/>
          <w:sz w:val="28"/>
          <w:szCs w:val="28"/>
          <w:lang w:bidi="ar-EG"/>
        </w:rPr>
        <w:t>remedys</w:t>
      </w:r>
      <w:proofErr w:type="spellEnd"/>
      <w:r w:rsidRPr="002446D5">
        <w:rPr>
          <w:rFonts w:asciiTheme="majorBidi" w:hAnsiTheme="majorBidi" w:cstheme="majorBidi"/>
          <w:bCs/>
          <w:sz w:val="28"/>
          <w:szCs w:val="28"/>
          <w:lang w:bidi="ar-EG"/>
        </w:rPr>
        <w:t xml:space="preserve"> for normal poisons in pediatrics (Table 3).</w:t>
      </w:r>
    </w:p>
    <w:p w:rsidR="002446D5" w:rsidRPr="002446D5" w:rsidRDefault="002446D5" w:rsidP="002446D5">
      <w:pPr>
        <w:bidi w:val="0"/>
        <w:spacing w:line="360" w:lineRule="auto"/>
        <w:jc w:val="both"/>
        <w:rPr>
          <w:rFonts w:asciiTheme="majorBidi" w:hAnsiTheme="majorBidi" w:cstheme="majorBidi"/>
          <w:bCs/>
          <w:sz w:val="28"/>
          <w:szCs w:val="28"/>
          <w:lang w:bidi="ar-EG"/>
        </w:rPr>
      </w:pPr>
      <w:proofErr w:type="gramStart"/>
      <w:r w:rsidRPr="002446D5">
        <w:rPr>
          <w:rFonts w:asciiTheme="majorBidi" w:hAnsiTheme="majorBidi" w:cstheme="majorBidi"/>
          <w:bCs/>
          <w:sz w:val="28"/>
          <w:szCs w:val="28"/>
          <w:lang w:bidi="ar-EG"/>
        </w:rPr>
        <w:t>Table 3.</w:t>
      </w:r>
      <w:proofErr w:type="gramEnd"/>
      <w:r w:rsidRPr="002446D5">
        <w:rPr>
          <w:rFonts w:asciiTheme="majorBidi" w:hAnsiTheme="majorBidi" w:cstheme="majorBidi"/>
          <w:bCs/>
          <w:sz w:val="28"/>
          <w:szCs w:val="28"/>
          <w:lang w:bidi="ar-EG"/>
        </w:rPr>
        <w:t xml:space="preserve"> </w:t>
      </w:r>
      <w:proofErr w:type="spellStart"/>
      <w:proofErr w:type="gramStart"/>
      <w:r w:rsidRPr="002446D5">
        <w:rPr>
          <w:rFonts w:asciiTheme="majorBidi" w:hAnsiTheme="majorBidi" w:cstheme="majorBidi"/>
          <w:bCs/>
          <w:sz w:val="28"/>
          <w:szCs w:val="28"/>
          <w:lang w:bidi="ar-EG"/>
        </w:rPr>
        <w:t>Remedys</w:t>
      </w:r>
      <w:proofErr w:type="spellEnd"/>
      <w:r w:rsidRPr="002446D5">
        <w:rPr>
          <w:rFonts w:asciiTheme="majorBidi" w:hAnsiTheme="majorBidi" w:cstheme="majorBidi"/>
          <w:bCs/>
          <w:sz w:val="28"/>
          <w:szCs w:val="28"/>
          <w:lang w:bidi="ar-EG"/>
        </w:rPr>
        <w:t xml:space="preserve"> for Normal Poisons (</w:t>
      </w:r>
      <w:proofErr w:type="spellStart"/>
      <w:r w:rsidRPr="002446D5">
        <w:rPr>
          <w:rFonts w:asciiTheme="majorBidi" w:hAnsiTheme="majorBidi" w:cstheme="majorBidi"/>
          <w:bCs/>
          <w:sz w:val="28"/>
          <w:szCs w:val="28"/>
          <w:lang w:bidi="ar-EG"/>
        </w:rPr>
        <w:t>Hui</w:t>
      </w:r>
      <w:proofErr w:type="spellEnd"/>
      <w:r w:rsidRPr="002446D5">
        <w:rPr>
          <w:rFonts w:asciiTheme="majorBidi" w:hAnsiTheme="majorBidi" w:cstheme="majorBidi"/>
          <w:bCs/>
          <w:sz w:val="28"/>
          <w:szCs w:val="28"/>
          <w:lang w:bidi="ar-EG"/>
        </w:rPr>
        <w:t xml:space="preserve"> et al., 2021).</w:t>
      </w:r>
      <w:proofErr w:type="gramEnd"/>
    </w:p>
    <w:tbl>
      <w:tblPr>
        <w:tblStyle w:val="TableGrid"/>
        <w:tblW w:w="0" w:type="auto"/>
        <w:jc w:val="center"/>
        <w:tblLook w:val="04A0" w:firstRow="1" w:lastRow="0" w:firstColumn="1" w:lastColumn="0" w:noHBand="0" w:noVBand="1"/>
      </w:tblPr>
      <w:tblGrid>
        <w:gridCol w:w="2852"/>
        <w:gridCol w:w="2440"/>
        <w:gridCol w:w="3950"/>
      </w:tblGrid>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Toxin</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Antidote</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Dose</w:t>
            </w:r>
          </w:p>
        </w:tc>
      </w:tr>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B-Blocker</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Glucagon</w:t>
            </w:r>
          </w:p>
        </w:tc>
        <w:tc>
          <w:tcPr>
            <w:tcW w:w="0" w:type="auto"/>
          </w:tcPr>
          <w:p w:rsidR="002446D5" w:rsidRPr="00161ABC" w:rsidRDefault="002446D5" w:rsidP="00EE3F01">
            <w:pPr>
              <w:pStyle w:val="ListParagraph"/>
              <w:numPr>
                <w:ilvl w:val="1"/>
                <w:numId w:val="20"/>
              </w:numPr>
              <w:spacing w:after="0"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mg/kg bolus</w:t>
            </w:r>
          </w:p>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0.07 mg/kg/hour infusion</w:t>
            </w:r>
          </w:p>
        </w:tc>
      </w:tr>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Digoxin</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proofErr w:type="spellStart"/>
            <w:r w:rsidRPr="00161ABC">
              <w:rPr>
                <w:rFonts w:asciiTheme="majorBidi" w:hAnsiTheme="majorBidi" w:cstheme="majorBidi"/>
                <w:bCs/>
                <w:sz w:val="28"/>
                <w:szCs w:val="28"/>
                <w:lang w:bidi="ar-EG"/>
              </w:rPr>
              <w:t>Digibind</w:t>
            </w:r>
            <w:proofErr w:type="spellEnd"/>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 xml:space="preserve">1 vial (38 mg) binds 0.5 mg </w:t>
            </w:r>
            <w:r w:rsidRPr="00161ABC">
              <w:rPr>
                <w:rFonts w:asciiTheme="majorBidi" w:hAnsiTheme="majorBidi" w:cstheme="majorBidi"/>
                <w:bCs/>
                <w:sz w:val="28"/>
                <w:szCs w:val="28"/>
                <w:lang w:bidi="ar-EG"/>
              </w:rPr>
              <w:lastRenderedPageBreak/>
              <w:t>digoxin</w:t>
            </w:r>
          </w:p>
        </w:tc>
      </w:tr>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lastRenderedPageBreak/>
              <w:t>Ethylene glycol/methanol</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Ethanol</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10 ml kg loading.</w:t>
            </w:r>
          </w:p>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1.2 ml/kg maintenance.</w:t>
            </w:r>
          </w:p>
        </w:tc>
      </w:tr>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Cyanide</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proofErr w:type="spellStart"/>
            <w:r w:rsidRPr="00161ABC">
              <w:rPr>
                <w:rFonts w:asciiTheme="majorBidi" w:hAnsiTheme="majorBidi" w:cstheme="majorBidi"/>
                <w:bCs/>
                <w:sz w:val="28"/>
                <w:szCs w:val="28"/>
                <w:lang w:bidi="ar-EG"/>
              </w:rPr>
              <w:t>Hydroxycobalamin</w:t>
            </w:r>
            <w:proofErr w:type="spellEnd"/>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Mg/kg</w:t>
            </w:r>
          </w:p>
        </w:tc>
      </w:tr>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Organophosphate</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Atropine</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0.05mg/kg, double dose every 5 minutes</w:t>
            </w:r>
          </w:p>
        </w:tc>
      </w:tr>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Iron</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proofErr w:type="spellStart"/>
            <w:r w:rsidRPr="00161ABC">
              <w:rPr>
                <w:rFonts w:asciiTheme="majorBidi" w:hAnsiTheme="majorBidi" w:cstheme="majorBidi"/>
                <w:bCs/>
                <w:sz w:val="28"/>
                <w:szCs w:val="28"/>
                <w:lang w:bidi="ar-EG"/>
              </w:rPr>
              <w:t>Desferrioxamine</w:t>
            </w:r>
            <w:proofErr w:type="spellEnd"/>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10:15mg/kg/h till acidosis resolves</w:t>
            </w:r>
          </w:p>
        </w:tc>
      </w:tr>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Heavy metals</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EDTA</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20:30 mg/kg/hour</w:t>
            </w:r>
          </w:p>
        </w:tc>
      </w:tr>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Acetaminophen</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N-</w:t>
            </w:r>
            <w:proofErr w:type="spellStart"/>
            <w:r w:rsidRPr="00161ABC">
              <w:rPr>
                <w:rFonts w:asciiTheme="majorBidi" w:hAnsiTheme="majorBidi" w:cstheme="majorBidi"/>
                <w:bCs/>
                <w:sz w:val="28"/>
                <w:szCs w:val="28"/>
                <w:lang w:bidi="ar-EG"/>
              </w:rPr>
              <w:t>Acetylcysteine</w:t>
            </w:r>
            <w:proofErr w:type="spellEnd"/>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150 mg/kg over 15 hours</w:t>
            </w:r>
          </w:p>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50 mg/kg over 4 hours</w:t>
            </w:r>
          </w:p>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100 mg/kg over 16 hours</w:t>
            </w:r>
          </w:p>
        </w:tc>
      </w:tr>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Opioids</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Naloxone</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0.1mg/kg max 2 mg</w:t>
            </w:r>
          </w:p>
        </w:tc>
      </w:tr>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Tricyclic Antidepressants</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Sodium bicarbonate</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 xml:space="preserve">1 </w:t>
            </w:r>
            <w:proofErr w:type="spellStart"/>
            <w:r w:rsidRPr="00161ABC">
              <w:rPr>
                <w:rFonts w:asciiTheme="majorBidi" w:hAnsiTheme="majorBidi" w:cstheme="majorBidi"/>
                <w:bCs/>
                <w:sz w:val="28"/>
                <w:szCs w:val="28"/>
                <w:lang w:bidi="ar-EG"/>
              </w:rPr>
              <w:t>mEq</w:t>
            </w:r>
            <w:proofErr w:type="spellEnd"/>
            <w:r w:rsidRPr="00161ABC">
              <w:rPr>
                <w:rFonts w:asciiTheme="majorBidi" w:hAnsiTheme="majorBidi" w:cstheme="majorBidi"/>
                <w:bCs/>
                <w:sz w:val="28"/>
                <w:szCs w:val="28"/>
                <w:lang w:bidi="ar-EG"/>
              </w:rPr>
              <w:t>/kg</w:t>
            </w:r>
          </w:p>
        </w:tc>
      </w:tr>
      <w:tr w:rsidR="002446D5" w:rsidRPr="00161ABC" w:rsidTr="00EE3F01">
        <w:trPr>
          <w:jc w:val="center"/>
        </w:trPr>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Warfarin</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Vitamin K</w:t>
            </w:r>
          </w:p>
        </w:tc>
        <w:tc>
          <w:tcPr>
            <w:tcW w:w="0" w:type="auto"/>
          </w:tcPr>
          <w:p w:rsidR="002446D5" w:rsidRPr="00161ABC" w:rsidRDefault="002446D5" w:rsidP="00EE3F01">
            <w:pPr>
              <w:bidi w:val="0"/>
              <w:spacing w:line="240" w:lineRule="auto"/>
              <w:jc w:val="both"/>
              <w:rPr>
                <w:rFonts w:asciiTheme="majorBidi" w:hAnsiTheme="majorBidi" w:cstheme="majorBidi"/>
                <w:bCs/>
                <w:sz w:val="28"/>
                <w:szCs w:val="28"/>
                <w:lang w:bidi="ar-EG"/>
              </w:rPr>
            </w:pPr>
            <w:r w:rsidRPr="00161ABC">
              <w:rPr>
                <w:rFonts w:asciiTheme="majorBidi" w:hAnsiTheme="majorBidi" w:cstheme="majorBidi"/>
                <w:bCs/>
                <w:sz w:val="28"/>
                <w:szCs w:val="28"/>
                <w:lang w:bidi="ar-EG"/>
              </w:rPr>
              <w:t>1:5 mg/6:8 hours</w:t>
            </w:r>
          </w:p>
        </w:tc>
      </w:tr>
    </w:tbl>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4 - Suggestive TREATMENT/The executives OF Intricacies</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 xml:space="preserve">Diuresis, retching, and the runs may all add to significant lack of hydration and shock. Forceful liquid revival, directed by intrusive checking, might be important. Hypotension, inert to sufficient liquid substitution, requires treatment with inotropes. Dopamine and </w:t>
      </w:r>
      <w:proofErr w:type="spellStart"/>
      <w:r w:rsidRPr="002446D5">
        <w:rPr>
          <w:rFonts w:asciiTheme="majorBidi" w:hAnsiTheme="majorBidi" w:cstheme="majorBidi"/>
          <w:bCs/>
          <w:sz w:val="28"/>
          <w:szCs w:val="28"/>
          <w:lang w:bidi="ar-EG"/>
        </w:rPr>
        <w:t>dobutamine</w:t>
      </w:r>
      <w:proofErr w:type="spellEnd"/>
      <w:r w:rsidRPr="002446D5">
        <w:rPr>
          <w:rFonts w:asciiTheme="majorBidi" w:hAnsiTheme="majorBidi" w:cstheme="majorBidi"/>
          <w:bCs/>
          <w:sz w:val="28"/>
          <w:szCs w:val="28"/>
          <w:lang w:bidi="ar-EG"/>
        </w:rPr>
        <w:t xml:space="preserve"> are the specialists generally normally utilized. The inotropic impact of glucagon has been utilized in the administration of β blocker and tricyclic stimulant actuated hypotension (</w:t>
      </w:r>
      <w:proofErr w:type="spellStart"/>
      <w:r w:rsidRPr="002446D5">
        <w:rPr>
          <w:rFonts w:asciiTheme="majorBidi" w:hAnsiTheme="majorBidi" w:cstheme="majorBidi"/>
          <w:bCs/>
          <w:sz w:val="28"/>
          <w:szCs w:val="28"/>
          <w:lang w:bidi="ar-EG"/>
        </w:rPr>
        <w:t>Nuutinen</w:t>
      </w:r>
      <w:proofErr w:type="spellEnd"/>
      <w:r w:rsidRPr="002446D5">
        <w:rPr>
          <w:rFonts w:asciiTheme="majorBidi" w:hAnsiTheme="majorBidi" w:cstheme="majorBidi"/>
          <w:bCs/>
          <w:sz w:val="28"/>
          <w:szCs w:val="28"/>
          <w:lang w:bidi="ar-EG"/>
        </w:rPr>
        <w:t xml:space="preserve"> et al., 1994).</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Metabolic acidosis is habitually experienced. As a rule, this is gentle and doesn't need explicit treatment. At times, the revision of a gentle metabolic acidosis might diminish poison freedom (</w:t>
      </w:r>
      <w:proofErr w:type="spellStart"/>
      <w:r w:rsidRPr="002446D5">
        <w:rPr>
          <w:rFonts w:asciiTheme="majorBidi" w:hAnsiTheme="majorBidi" w:cstheme="majorBidi"/>
          <w:bCs/>
          <w:sz w:val="28"/>
          <w:szCs w:val="28"/>
          <w:lang w:bidi="ar-EG"/>
        </w:rPr>
        <w:t>Nuutinen</w:t>
      </w:r>
      <w:proofErr w:type="spellEnd"/>
      <w:r w:rsidRPr="002446D5">
        <w:rPr>
          <w:rFonts w:asciiTheme="majorBidi" w:hAnsiTheme="majorBidi" w:cstheme="majorBidi"/>
          <w:bCs/>
          <w:sz w:val="28"/>
          <w:szCs w:val="28"/>
          <w:lang w:bidi="ar-EG"/>
        </w:rPr>
        <w:t xml:space="preserve"> et al., 1994).</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lastRenderedPageBreak/>
        <w:t>Hepatic and renal capability ought to be checked intently. Pee tests ought to be checked routinely for blood, hemoglobin, protein, glucose, and myoglobin.</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Hypoglycemia ought to be recognized quickly and rectified utilizing intravenous boluses (5 ml/kg) of 10% dextrose.</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Seizures can generally be treated with benzodiazepines.</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Youngsters creating side effects after ingestion, other than maybe gentle sickness, regurgitating, or looseness of the bowels, require clinic affirmation. For most toxins, treatment is strong.</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Youngsters with sickness and retching may require intravenous liquids. Treatment with antiemetic drugs is best kept away from (</w:t>
      </w:r>
      <w:proofErr w:type="spellStart"/>
      <w:r w:rsidRPr="002446D5">
        <w:rPr>
          <w:rFonts w:asciiTheme="majorBidi" w:hAnsiTheme="majorBidi" w:cstheme="majorBidi"/>
          <w:bCs/>
          <w:sz w:val="28"/>
          <w:szCs w:val="28"/>
          <w:lang w:bidi="ar-EG"/>
        </w:rPr>
        <w:t>Gaudreault</w:t>
      </w:r>
      <w:proofErr w:type="spellEnd"/>
      <w:r w:rsidRPr="002446D5">
        <w:rPr>
          <w:rFonts w:asciiTheme="majorBidi" w:hAnsiTheme="majorBidi" w:cstheme="majorBidi"/>
          <w:bCs/>
          <w:sz w:val="28"/>
          <w:szCs w:val="28"/>
          <w:lang w:bidi="ar-EG"/>
        </w:rPr>
        <w:t xml:space="preserve"> et al., 1983)</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 xml:space="preserve">The examination and treatment of acidic ingestion in youngsters is dubious. Antacids will quite often </w:t>
      </w:r>
      <w:proofErr w:type="gramStart"/>
      <w:r w:rsidRPr="002446D5">
        <w:rPr>
          <w:rFonts w:asciiTheme="majorBidi" w:hAnsiTheme="majorBidi" w:cstheme="majorBidi"/>
          <w:bCs/>
          <w:sz w:val="28"/>
          <w:szCs w:val="28"/>
          <w:lang w:bidi="ar-EG"/>
        </w:rPr>
        <w:t>cause</w:t>
      </w:r>
      <w:proofErr w:type="gramEnd"/>
      <w:r w:rsidRPr="002446D5">
        <w:rPr>
          <w:rFonts w:asciiTheme="majorBidi" w:hAnsiTheme="majorBidi" w:cstheme="majorBidi"/>
          <w:bCs/>
          <w:sz w:val="28"/>
          <w:szCs w:val="28"/>
          <w:lang w:bidi="ar-EG"/>
        </w:rPr>
        <w:t xml:space="preserve"> more harm than acids, while fluids cause a greater number of scars than powders. Items that can become caught in the throat cause the most harm, for instance, batteries, </w:t>
      </w:r>
      <w:proofErr w:type="spellStart"/>
      <w:r w:rsidRPr="002446D5">
        <w:rPr>
          <w:rFonts w:asciiTheme="majorBidi" w:hAnsiTheme="majorBidi" w:cstheme="majorBidi"/>
          <w:bCs/>
          <w:sz w:val="28"/>
          <w:szCs w:val="28"/>
          <w:lang w:bidi="ar-EG"/>
        </w:rPr>
        <w:t>Clinitest</w:t>
      </w:r>
      <w:proofErr w:type="spellEnd"/>
      <w:r w:rsidRPr="002446D5">
        <w:rPr>
          <w:rFonts w:asciiTheme="majorBidi" w:hAnsiTheme="majorBidi" w:cstheme="majorBidi"/>
          <w:bCs/>
          <w:sz w:val="28"/>
          <w:szCs w:val="28"/>
          <w:lang w:bidi="ar-EG"/>
        </w:rPr>
        <w:t>, or dishwasher tablets.</w:t>
      </w:r>
    </w:p>
    <w:p w:rsidR="002446D5" w:rsidRP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t>The result for most kids following destructive ingestion is great. Shallow esophageal consumes happen in 20% of cases, further consumes are seen in 5%, and injury development in 1-3% (</w:t>
      </w:r>
      <w:proofErr w:type="spellStart"/>
      <w:r w:rsidRPr="002446D5">
        <w:rPr>
          <w:rFonts w:asciiTheme="majorBidi" w:hAnsiTheme="majorBidi" w:cstheme="majorBidi"/>
          <w:bCs/>
          <w:sz w:val="28"/>
          <w:szCs w:val="28"/>
          <w:lang w:bidi="ar-EG"/>
        </w:rPr>
        <w:t>Nuutinen</w:t>
      </w:r>
      <w:proofErr w:type="spellEnd"/>
      <w:r w:rsidRPr="002446D5">
        <w:rPr>
          <w:rFonts w:asciiTheme="majorBidi" w:hAnsiTheme="majorBidi" w:cstheme="majorBidi"/>
          <w:bCs/>
          <w:sz w:val="28"/>
          <w:szCs w:val="28"/>
          <w:lang w:bidi="ar-EG"/>
        </w:rPr>
        <w:t xml:space="preserve"> et al., 1994). Endeavors at balance of corrosives, or gastric disinfecting, are best kept away from. The utility of early upper gastrointestinal endoscopy in suggestive youngsters, trailed by steroid treatment assuming esophageal consumes are recognized, has been raised doubt about. Early signs and side effects don't foresee the presence of esophageal consumes, and Anderson et al found no proof that steroid treatment further developed result (Anderson et al., 1990)</w:t>
      </w:r>
    </w:p>
    <w:p w:rsidR="002446D5" w:rsidRDefault="002446D5" w:rsidP="002446D5">
      <w:pPr>
        <w:bidi w:val="0"/>
        <w:spacing w:line="360" w:lineRule="auto"/>
        <w:jc w:val="both"/>
        <w:rPr>
          <w:rFonts w:asciiTheme="majorBidi" w:hAnsiTheme="majorBidi" w:cstheme="majorBidi"/>
          <w:bCs/>
          <w:sz w:val="28"/>
          <w:szCs w:val="28"/>
          <w:lang w:bidi="ar-EG"/>
        </w:rPr>
      </w:pPr>
      <w:r w:rsidRPr="002446D5">
        <w:rPr>
          <w:rFonts w:asciiTheme="majorBidi" w:hAnsiTheme="majorBidi" w:cstheme="majorBidi"/>
          <w:bCs/>
          <w:sz w:val="28"/>
          <w:szCs w:val="28"/>
          <w:lang w:bidi="ar-EG"/>
        </w:rPr>
        <w:lastRenderedPageBreak/>
        <w:t>Kids ought to be overseen apparently. Specific consideration is required over liquid equilibrium and respiratory capability. Slobbering and dysphagia persevering past 12-24 hours are great indicators of esophageal scar arrangement and ought to incite upper gastrointestinal endoscopy (</w:t>
      </w:r>
      <w:proofErr w:type="spellStart"/>
      <w:r w:rsidRPr="002446D5">
        <w:rPr>
          <w:rFonts w:asciiTheme="majorBidi" w:hAnsiTheme="majorBidi" w:cstheme="majorBidi"/>
          <w:bCs/>
          <w:sz w:val="28"/>
          <w:szCs w:val="28"/>
          <w:lang w:bidi="ar-EG"/>
        </w:rPr>
        <w:t>Nuutinen</w:t>
      </w:r>
      <w:proofErr w:type="spellEnd"/>
      <w:r w:rsidRPr="002446D5">
        <w:rPr>
          <w:rFonts w:asciiTheme="majorBidi" w:hAnsiTheme="majorBidi" w:cstheme="majorBidi"/>
          <w:bCs/>
          <w:sz w:val="28"/>
          <w:szCs w:val="28"/>
          <w:lang w:bidi="ar-EG"/>
        </w:rPr>
        <w:t xml:space="preserve"> et al., 1994)</w:t>
      </w:r>
    </w:p>
    <w:p w:rsidR="00161ABC" w:rsidRPr="00161ABC" w:rsidRDefault="00161ABC" w:rsidP="00161ABC">
      <w:pPr>
        <w:bidi w:val="0"/>
        <w:spacing w:line="360" w:lineRule="auto"/>
        <w:jc w:val="both"/>
        <w:rPr>
          <w:rFonts w:asciiTheme="majorBidi" w:hAnsiTheme="majorBidi" w:cstheme="majorBidi"/>
          <w:bCs/>
          <w:sz w:val="28"/>
          <w:szCs w:val="28"/>
          <w:lang w:bidi="ar-EG"/>
        </w:rPr>
      </w:pPr>
    </w:p>
    <w:p w:rsidR="00161ABC" w:rsidRPr="00161ABC" w:rsidRDefault="00161ABC" w:rsidP="002446D5">
      <w:pPr>
        <w:pStyle w:val="BodyText"/>
        <w:spacing w:before="87" w:line="360" w:lineRule="auto"/>
        <w:ind w:right="823"/>
        <w:jc w:val="center"/>
        <w:rPr>
          <w:b/>
          <w:bCs/>
          <w:color w:val="221F1F"/>
          <w:sz w:val="44"/>
          <w:szCs w:val="44"/>
        </w:rPr>
        <w:sectPr w:rsidR="00161ABC" w:rsidRPr="00161ABC" w:rsidSect="004371C0">
          <w:headerReference w:type="default" r:id="rId29"/>
          <w:pgSz w:w="11906" w:h="16838"/>
          <w:pgMar w:top="1440" w:right="1440" w:bottom="810" w:left="1440" w:header="708" w:footer="708" w:gutter="0"/>
          <w:cols w:space="708"/>
          <w:bidi/>
          <w:rtlGutter/>
          <w:docGrid w:linePitch="360"/>
        </w:sectPr>
      </w:pPr>
    </w:p>
    <w:p w:rsidR="001E4A46" w:rsidRDefault="001E4A46" w:rsidP="006D6E28">
      <w:pPr>
        <w:bidi w:val="0"/>
        <w:jc w:val="center"/>
        <w:rPr>
          <w:rFonts w:asciiTheme="majorBidi" w:hAnsiTheme="majorBidi" w:cstheme="majorBidi"/>
          <w:b/>
          <w:bCs/>
          <w:sz w:val="44"/>
          <w:szCs w:val="44"/>
          <w:lang w:bidi="ar-EG"/>
        </w:rPr>
      </w:pPr>
      <w:r w:rsidRPr="001E4A46">
        <w:rPr>
          <w:rFonts w:asciiTheme="majorBidi" w:hAnsiTheme="majorBidi" w:cstheme="majorBidi"/>
          <w:b/>
          <w:bCs/>
          <w:sz w:val="44"/>
          <w:szCs w:val="44"/>
          <w:lang w:bidi="ar-EG"/>
        </w:rPr>
        <w:lastRenderedPageBreak/>
        <w:t>Patients and Methods</w:t>
      </w:r>
    </w:p>
    <w:p w:rsidR="001E4A46" w:rsidRPr="00161ABC" w:rsidRDefault="001E4A46" w:rsidP="00161ABC">
      <w:pPr>
        <w:bidi w:val="0"/>
        <w:spacing w:line="360" w:lineRule="auto"/>
        <w:jc w:val="both"/>
        <w:rPr>
          <w:rFonts w:asciiTheme="majorBidi" w:hAnsiTheme="majorBidi" w:cstheme="majorBidi"/>
          <w:b/>
          <w:bCs/>
          <w:sz w:val="28"/>
          <w:szCs w:val="28"/>
          <w:lang w:bidi="ar-EG"/>
        </w:rPr>
      </w:pPr>
    </w:p>
    <w:p w:rsidR="00161ABC" w:rsidRPr="00161ABC" w:rsidRDefault="00161ABC" w:rsidP="00161ABC">
      <w:pPr>
        <w:pStyle w:val="BodyText"/>
        <w:numPr>
          <w:ilvl w:val="0"/>
          <w:numId w:val="18"/>
        </w:numPr>
        <w:spacing w:before="87" w:line="360" w:lineRule="auto"/>
        <w:ind w:left="360"/>
        <w:jc w:val="both"/>
        <w:rPr>
          <w:rFonts w:asciiTheme="majorBidi" w:hAnsiTheme="majorBidi" w:cstheme="majorBidi"/>
          <w:color w:val="221F1F"/>
        </w:rPr>
      </w:pPr>
      <w:r w:rsidRPr="00161ABC">
        <w:rPr>
          <w:rFonts w:asciiTheme="majorBidi" w:hAnsiTheme="majorBidi" w:cstheme="majorBidi"/>
          <w:b/>
          <w:bCs/>
          <w:color w:val="221F1F"/>
        </w:rPr>
        <w:t>Design &amp; Setting</w:t>
      </w:r>
      <w:r w:rsidRPr="00161ABC">
        <w:rPr>
          <w:rFonts w:asciiTheme="majorBidi" w:hAnsiTheme="majorBidi" w:cstheme="majorBidi"/>
          <w:color w:val="221F1F"/>
        </w:rPr>
        <w:t>:</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This was a review study directed at South Valley College Medical clinic, Pediatric division and Pediatric Emergency unit January 2020 and December of 2021.</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Patient' Determination Standards:</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Our review included 46 patients. Consideration measures included patients confessed to the pediatric division with side effects of harming in view of history taking, actual assessment, and lab studies, who were able to partake in this exploration. Rejection rules included patients with gastrointestinal issues, neurological issues, constant kidney issues, or cardiovascular issues.</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Techniques:</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Every one of the patients had their set of experiences taken, including:</w:t>
      </w:r>
    </w:p>
    <w:p w:rsidR="00794709" w:rsidRPr="00794709" w:rsidRDefault="00794709" w:rsidP="00794709">
      <w:pPr>
        <w:pStyle w:val="BodyText"/>
        <w:spacing w:before="87" w:line="360" w:lineRule="auto"/>
        <w:jc w:val="both"/>
        <w:rPr>
          <w:rFonts w:asciiTheme="majorBidi" w:hAnsiTheme="majorBidi" w:cstheme="majorBidi"/>
          <w:color w:val="221F1F"/>
        </w:rPr>
      </w:pPr>
      <w:proofErr w:type="gramStart"/>
      <w:r w:rsidRPr="00794709">
        <w:rPr>
          <w:rFonts w:asciiTheme="majorBidi" w:hAnsiTheme="majorBidi" w:cstheme="majorBidi"/>
          <w:color w:val="221F1F"/>
        </w:rPr>
        <w:t>o</w:t>
      </w:r>
      <w:proofErr w:type="gramEnd"/>
      <w:r w:rsidRPr="00794709">
        <w:rPr>
          <w:rFonts w:asciiTheme="majorBidi" w:hAnsiTheme="majorBidi" w:cstheme="majorBidi"/>
          <w:color w:val="221F1F"/>
        </w:rPr>
        <w:tab/>
        <w:t>Age</w:t>
      </w:r>
    </w:p>
    <w:p w:rsidR="00794709" w:rsidRPr="00794709" w:rsidRDefault="00794709" w:rsidP="00794709">
      <w:pPr>
        <w:pStyle w:val="BodyText"/>
        <w:spacing w:before="87" w:line="360" w:lineRule="auto"/>
        <w:jc w:val="both"/>
        <w:rPr>
          <w:rFonts w:asciiTheme="majorBidi" w:hAnsiTheme="majorBidi" w:cstheme="majorBidi"/>
          <w:color w:val="221F1F"/>
        </w:rPr>
      </w:pPr>
      <w:proofErr w:type="gramStart"/>
      <w:r w:rsidRPr="00794709">
        <w:rPr>
          <w:rFonts w:asciiTheme="majorBidi" w:hAnsiTheme="majorBidi" w:cstheme="majorBidi"/>
          <w:color w:val="221F1F"/>
        </w:rPr>
        <w:t>o</w:t>
      </w:r>
      <w:proofErr w:type="gramEnd"/>
      <w:r w:rsidRPr="00794709">
        <w:rPr>
          <w:rFonts w:asciiTheme="majorBidi" w:hAnsiTheme="majorBidi" w:cstheme="majorBidi"/>
          <w:color w:val="221F1F"/>
        </w:rPr>
        <w:tab/>
        <w:t>Sex</w:t>
      </w:r>
    </w:p>
    <w:p w:rsidR="00794709" w:rsidRPr="00794709" w:rsidRDefault="00794709" w:rsidP="00794709">
      <w:pPr>
        <w:pStyle w:val="BodyText"/>
        <w:spacing w:before="87" w:line="360" w:lineRule="auto"/>
        <w:jc w:val="both"/>
        <w:rPr>
          <w:rFonts w:asciiTheme="majorBidi" w:hAnsiTheme="majorBidi" w:cstheme="majorBidi"/>
          <w:color w:val="221F1F"/>
        </w:rPr>
      </w:pPr>
      <w:proofErr w:type="gramStart"/>
      <w:r w:rsidRPr="00794709">
        <w:rPr>
          <w:rFonts w:asciiTheme="majorBidi" w:hAnsiTheme="majorBidi" w:cstheme="majorBidi"/>
          <w:color w:val="221F1F"/>
        </w:rPr>
        <w:t>o</w:t>
      </w:r>
      <w:proofErr w:type="gramEnd"/>
      <w:r w:rsidRPr="00794709">
        <w:rPr>
          <w:rFonts w:asciiTheme="majorBidi" w:hAnsiTheme="majorBidi" w:cstheme="majorBidi"/>
          <w:color w:val="221F1F"/>
        </w:rPr>
        <w:tab/>
        <w:t>Full history including:</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History of present disease</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Kind of poisonous specialist liable for harming.</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Defer time among harming and confirmation.</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Course of openness: Oral, inward breath, infusion, dermal, sting or chomp.</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Way of harming: Whether murderous, self-destructive, inadvertent, habit (go too far) or remedial blunder.</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Presence or nonappearance of pre-clinic treatment got by the patients.</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lastRenderedPageBreak/>
        <w:t>•</w:t>
      </w:r>
      <w:r w:rsidRPr="00794709">
        <w:rPr>
          <w:rFonts w:asciiTheme="majorBidi" w:hAnsiTheme="majorBidi" w:cstheme="majorBidi"/>
          <w:color w:val="221F1F"/>
        </w:rPr>
        <w:tab/>
        <w:t>Introducing side effects previously and on appearance to emergency clinic as:</w:t>
      </w:r>
    </w:p>
    <w:p w:rsidR="00794709" w:rsidRPr="00794709" w:rsidRDefault="00794709" w:rsidP="00794709">
      <w:pPr>
        <w:pStyle w:val="BodyText"/>
        <w:spacing w:before="87" w:line="360" w:lineRule="auto"/>
        <w:jc w:val="both"/>
        <w:rPr>
          <w:rFonts w:asciiTheme="majorBidi" w:hAnsiTheme="majorBidi" w:cstheme="majorBidi"/>
          <w:color w:val="221F1F"/>
        </w:rPr>
      </w:pPr>
      <w:proofErr w:type="gramStart"/>
      <w:r w:rsidRPr="00794709">
        <w:rPr>
          <w:rFonts w:asciiTheme="majorBidi" w:hAnsiTheme="majorBidi" w:cstheme="majorBidi"/>
          <w:color w:val="221F1F"/>
        </w:rPr>
        <w:t>o</w:t>
      </w:r>
      <w:proofErr w:type="gramEnd"/>
      <w:r w:rsidRPr="00794709">
        <w:rPr>
          <w:rFonts w:asciiTheme="majorBidi" w:hAnsiTheme="majorBidi" w:cstheme="majorBidi"/>
          <w:color w:val="221F1F"/>
        </w:rPr>
        <w:tab/>
        <w:t>Symptoms of gastrointestinal plot (GIT): Retching, loose bowels, blockage, hematemesis, melena, dysphagia, stomach torment,… .</w:t>
      </w:r>
      <w:proofErr w:type="gramStart"/>
      <w:r w:rsidRPr="00794709">
        <w:rPr>
          <w:rFonts w:asciiTheme="majorBidi" w:hAnsiTheme="majorBidi" w:cstheme="majorBidi"/>
          <w:color w:val="221F1F"/>
        </w:rPr>
        <w:t>and</w:t>
      </w:r>
      <w:proofErr w:type="gramEnd"/>
      <w:r w:rsidRPr="00794709">
        <w:rPr>
          <w:rFonts w:asciiTheme="majorBidi" w:hAnsiTheme="majorBidi" w:cstheme="majorBidi"/>
          <w:color w:val="221F1F"/>
        </w:rPr>
        <w:t xml:space="preserve"> so forth</w:t>
      </w:r>
    </w:p>
    <w:p w:rsidR="00794709" w:rsidRPr="00794709" w:rsidRDefault="00794709" w:rsidP="00794709">
      <w:pPr>
        <w:pStyle w:val="BodyText"/>
        <w:spacing w:before="87" w:line="360" w:lineRule="auto"/>
        <w:jc w:val="both"/>
        <w:rPr>
          <w:rFonts w:asciiTheme="majorBidi" w:hAnsiTheme="majorBidi" w:cstheme="majorBidi"/>
          <w:color w:val="221F1F"/>
        </w:rPr>
      </w:pPr>
      <w:proofErr w:type="gramStart"/>
      <w:r w:rsidRPr="00794709">
        <w:rPr>
          <w:rFonts w:asciiTheme="majorBidi" w:hAnsiTheme="majorBidi" w:cstheme="majorBidi"/>
          <w:color w:val="221F1F"/>
        </w:rPr>
        <w:t>o</w:t>
      </w:r>
      <w:proofErr w:type="gramEnd"/>
      <w:r w:rsidRPr="00794709">
        <w:rPr>
          <w:rFonts w:asciiTheme="majorBidi" w:hAnsiTheme="majorBidi" w:cstheme="majorBidi"/>
          <w:color w:val="221F1F"/>
        </w:rPr>
        <w:tab/>
        <w:t>Symptoms of cardiovascular framework (CVS): Chest torment, dyspnea, palpitation… .</w:t>
      </w:r>
      <w:proofErr w:type="gramStart"/>
      <w:r w:rsidRPr="00794709">
        <w:rPr>
          <w:rFonts w:asciiTheme="majorBidi" w:hAnsiTheme="majorBidi" w:cstheme="majorBidi"/>
          <w:color w:val="221F1F"/>
        </w:rPr>
        <w:t>and</w:t>
      </w:r>
      <w:proofErr w:type="gramEnd"/>
      <w:r w:rsidRPr="00794709">
        <w:rPr>
          <w:rFonts w:asciiTheme="majorBidi" w:hAnsiTheme="majorBidi" w:cstheme="majorBidi"/>
          <w:color w:val="221F1F"/>
        </w:rPr>
        <w:t xml:space="preserve"> so on.</w:t>
      </w:r>
    </w:p>
    <w:p w:rsidR="00794709" w:rsidRPr="00794709" w:rsidRDefault="00794709" w:rsidP="00794709">
      <w:pPr>
        <w:pStyle w:val="BodyText"/>
        <w:spacing w:before="87" w:line="360" w:lineRule="auto"/>
        <w:jc w:val="both"/>
        <w:rPr>
          <w:rFonts w:asciiTheme="majorBidi" w:hAnsiTheme="majorBidi" w:cstheme="majorBidi"/>
          <w:color w:val="221F1F"/>
        </w:rPr>
      </w:pPr>
      <w:proofErr w:type="gramStart"/>
      <w:r w:rsidRPr="00794709">
        <w:rPr>
          <w:rFonts w:asciiTheme="majorBidi" w:hAnsiTheme="majorBidi" w:cstheme="majorBidi"/>
          <w:color w:val="221F1F"/>
        </w:rPr>
        <w:t>o</w:t>
      </w:r>
      <w:proofErr w:type="gramEnd"/>
      <w:r w:rsidRPr="00794709">
        <w:rPr>
          <w:rFonts w:asciiTheme="majorBidi" w:hAnsiTheme="majorBidi" w:cstheme="majorBidi"/>
          <w:color w:val="221F1F"/>
        </w:rPr>
        <w:tab/>
        <w:t>Symptoms of respiratory framework: Hack, expectoration, hemoptysis, dyspnea… … and so on</w:t>
      </w:r>
    </w:p>
    <w:p w:rsidR="00794709" w:rsidRPr="00794709" w:rsidRDefault="00794709" w:rsidP="00794709">
      <w:pPr>
        <w:pStyle w:val="BodyText"/>
        <w:spacing w:before="87" w:line="360" w:lineRule="auto"/>
        <w:jc w:val="both"/>
        <w:rPr>
          <w:rFonts w:asciiTheme="majorBidi" w:hAnsiTheme="majorBidi" w:cstheme="majorBidi"/>
          <w:color w:val="221F1F"/>
        </w:rPr>
      </w:pPr>
      <w:proofErr w:type="gramStart"/>
      <w:r w:rsidRPr="00794709">
        <w:rPr>
          <w:rFonts w:asciiTheme="majorBidi" w:hAnsiTheme="majorBidi" w:cstheme="majorBidi"/>
          <w:color w:val="221F1F"/>
        </w:rPr>
        <w:t>o</w:t>
      </w:r>
      <w:proofErr w:type="gramEnd"/>
      <w:r w:rsidRPr="00794709">
        <w:rPr>
          <w:rFonts w:asciiTheme="majorBidi" w:hAnsiTheme="majorBidi" w:cstheme="majorBidi"/>
          <w:color w:val="221F1F"/>
        </w:rPr>
        <w:tab/>
        <w:t xml:space="preserve">Symptoms of sensory system: </w:t>
      </w:r>
      <w:proofErr w:type="spellStart"/>
      <w:r w:rsidRPr="00794709">
        <w:rPr>
          <w:rFonts w:asciiTheme="majorBidi" w:hAnsiTheme="majorBidi" w:cstheme="majorBidi"/>
          <w:color w:val="221F1F"/>
        </w:rPr>
        <w:t>Discombobulation</w:t>
      </w:r>
      <w:proofErr w:type="spellEnd"/>
      <w:r w:rsidRPr="00794709">
        <w:rPr>
          <w:rFonts w:asciiTheme="majorBidi" w:hAnsiTheme="majorBidi" w:cstheme="majorBidi"/>
          <w:color w:val="221F1F"/>
        </w:rPr>
        <w:t>, dizziness, migraine, shivering, deadness… and so forth.</w:t>
      </w:r>
    </w:p>
    <w:p w:rsidR="00794709" w:rsidRPr="00794709" w:rsidRDefault="00794709" w:rsidP="00794709">
      <w:pPr>
        <w:pStyle w:val="BodyText"/>
        <w:spacing w:before="87" w:line="360" w:lineRule="auto"/>
        <w:jc w:val="both"/>
        <w:rPr>
          <w:rFonts w:asciiTheme="majorBidi" w:hAnsiTheme="majorBidi" w:cstheme="majorBidi"/>
          <w:color w:val="221F1F"/>
        </w:rPr>
      </w:pPr>
      <w:proofErr w:type="gramStart"/>
      <w:r w:rsidRPr="00794709">
        <w:rPr>
          <w:rFonts w:asciiTheme="majorBidi" w:hAnsiTheme="majorBidi" w:cstheme="majorBidi"/>
          <w:color w:val="221F1F"/>
        </w:rPr>
        <w:t>o</w:t>
      </w:r>
      <w:proofErr w:type="gramEnd"/>
      <w:r w:rsidRPr="00794709">
        <w:rPr>
          <w:rFonts w:asciiTheme="majorBidi" w:hAnsiTheme="majorBidi" w:cstheme="majorBidi"/>
          <w:color w:val="221F1F"/>
        </w:rPr>
        <w:tab/>
        <w:t>Symptoms of genitourinary side effects: Polyuria, oliguria, hematuria, incontinence, maintenance… .</w:t>
      </w:r>
      <w:proofErr w:type="gramStart"/>
      <w:r w:rsidRPr="00794709">
        <w:rPr>
          <w:rFonts w:asciiTheme="majorBidi" w:hAnsiTheme="majorBidi" w:cstheme="majorBidi"/>
          <w:color w:val="221F1F"/>
        </w:rPr>
        <w:t>and</w:t>
      </w:r>
      <w:proofErr w:type="gramEnd"/>
      <w:r w:rsidRPr="00794709">
        <w:rPr>
          <w:rFonts w:asciiTheme="majorBidi" w:hAnsiTheme="majorBidi" w:cstheme="majorBidi"/>
          <w:color w:val="221F1F"/>
        </w:rPr>
        <w:t xml:space="preserve"> so on.</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r>
      <w:proofErr w:type="gramStart"/>
      <w:r w:rsidRPr="00794709">
        <w:rPr>
          <w:rFonts w:asciiTheme="majorBidi" w:hAnsiTheme="majorBidi" w:cstheme="majorBidi"/>
          <w:color w:val="221F1F"/>
        </w:rPr>
        <w:t>Previous</w:t>
      </w:r>
      <w:proofErr w:type="gramEnd"/>
      <w:r w:rsidRPr="00794709">
        <w:rPr>
          <w:rFonts w:asciiTheme="majorBidi" w:hAnsiTheme="majorBidi" w:cstheme="majorBidi"/>
          <w:color w:val="221F1F"/>
        </w:rPr>
        <w:t xml:space="preserve"> history:</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Mental infections: Schizophrenia, significant wretchedness or bipolar hyper issue.</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 xml:space="preserve"> Clinical infections: Epilepsy, diabetes mellitus, respiratory illness, coronary illness, liver sickness or renal illness.</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Any past usable history.</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Assessment of the patients was done at the hour of show to the medical clinic and intermittently for follow up as indicated by the kind and seriousness of harming.</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General assessment:</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 xml:space="preserve">Indispensable information: They are the fundamental wellbeing status pointers and address a standard part of any understanding evaluation. They incorporate the accompanying goal estimates which empower appraisal of the level </w:t>
      </w:r>
      <w:r w:rsidRPr="00794709">
        <w:rPr>
          <w:rFonts w:asciiTheme="majorBidi" w:hAnsiTheme="majorBidi" w:cstheme="majorBidi"/>
          <w:color w:val="221F1F"/>
        </w:rPr>
        <w:lastRenderedPageBreak/>
        <w:t>at which an individual is working.</w:t>
      </w:r>
    </w:p>
    <w:p w:rsidR="00161ABC" w:rsidRPr="00161ABC"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They incorporated the accompanying:</w:t>
      </w:r>
    </w:p>
    <w:tbl>
      <w:tblPr>
        <w:tblStyle w:val="TableGrid"/>
        <w:tblW w:w="0" w:type="auto"/>
        <w:jc w:val="center"/>
        <w:tblLook w:val="04A0" w:firstRow="1" w:lastRow="0" w:firstColumn="1" w:lastColumn="0" w:noHBand="0" w:noVBand="1"/>
      </w:tblPr>
      <w:tblGrid>
        <w:gridCol w:w="3233"/>
        <w:gridCol w:w="3233"/>
      </w:tblGrid>
      <w:tr w:rsidR="00161ABC" w:rsidRPr="00161ABC" w:rsidTr="00161ABC">
        <w:trPr>
          <w:jc w:val="center"/>
        </w:trPr>
        <w:tc>
          <w:tcPr>
            <w:tcW w:w="6466" w:type="dxa"/>
            <w:gridSpan w:val="2"/>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Normal Heart Rate by Age</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&lt; 1 year</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110:160</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2:5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95:140</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5:12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80:120</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Over 12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60:100</w:t>
            </w:r>
          </w:p>
        </w:tc>
      </w:tr>
    </w:tbl>
    <w:p w:rsidR="00161ABC" w:rsidRPr="00161ABC" w:rsidRDefault="00161ABC" w:rsidP="00161ABC">
      <w:pPr>
        <w:pStyle w:val="BodyText"/>
        <w:spacing w:before="87" w:line="360" w:lineRule="auto"/>
        <w:jc w:val="both"/>
        <w:rPr>
          <w:rFonts w:asciiTheme="majorBidi" w:hAnsiTheme="majorBidi" w:cstheme="majorBidi"/>
          <w:color w:val="221F1F"/>
        </w:rPr>
      </w:pPr>
    </w:p>
    <w:p w:rsidR="00161ABC" w:rsidRPr="00161ABC" w:rsidRDefault="00161ABC" w:rsidP="00161ABC">
      <w:pPr>
        <w:pStyle w:val="BodyText"/>
        <w:numPr>
          <w:ilvl w:val="3"/>
          <w:numId w:val="18"/>
        </w:numPr>
        <w:spacing w:before="87" w:line="360" w:lineRule="auto"/>
        <w:ind w:left="0" w:firstLine="180"/>
        <w:jc w:val="both"/>
        <w:rPr>
          <w:rFonts w:asciiTheme="majorBidi" w:hAnsiTheme="majorBidi" w:cstheme="majorBidi"/>
          <w:color w:val="221F1F"/>
        </w:rPr>
      </w:pPr>
      <w:r w:rsidRPr="00161ABC">
        <w:rPr>
          <w:rFonts w:asciiTheme="majorBidi" w:hAnsiTheme="majorBidi" w:cstheme="majorBidi"/>
          <w:color w:val="221F1F"/>
        </w:rPr>
        <w:t>Blood pressure</w:t>
      </w:r>
    </w:p>
    <w:tbl>
      <w:tblPr>
        <w:tblStyle w:val="TableGrid"/>
        <w:tblW w:w="0" w:type="auto"/>
        <w:jc w:val="center"/>
        <w:tblLook w:val="04A0" w:firstRow="1" w:lastRow="0" w:firstColumn="1" w:lastColumn="0" w:noHBand="0" w:noVBand="1"/>
      </w:tblPr>
      <w:tblGrid>
        <w:gridCol w:w="3233"/>
        <w:gridCol w:w="3233"/>
      </w:tblGrid>
      <w:tr w:rsidR="00161ABC" w:rsidRPr="00161ABC" w:rsidTr="00161ABC">
        <w:trPr>
          <w:jc w:val="center"/>
        </w:trPr>
        <w:tc>
          <w:tcPr>
            <w:tcW w:w="6466" w:type="dxa"/>
            <w:gridSpan w:val="2"/>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Normal Blood Pressure by Age</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0:2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110/65</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3:6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120/70</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7:10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130/75</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11:15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140/80</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Over 15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140/90</w:t>
            </w:r>
          </w:p>
        </w:tc>
      </w:tr>
    </w:tbl>
    <w:p w:rsidR="00161ABC" w:rsidRDefault="00161ABC" w:rsidP="00161ABC">
      <w:pPr>
        <w:pStyle w:val="BodyText"/>
        <w:spacing w:before="87" w:line="360" w:lineRule="auto"/>
        <w:jc w:val="both"/>
        <w:rPr>
          <w:rFonts w:asciiTheme="majorBidi" w:hAnsiTheme="majorBidi" w:cstheme="majorBidi"/>
          <w:color w:val="221F1F"/>
        </w:rPr>
      </w:pPr>
    </w:p>
    <w:p w:rsidR="00161ABC" w:rsidRPr="00161ABC" w:rsidRDefault="00161ABC" w:rsidP="00161ABC">
      <w:pPr>
        <w:pStyle w:val="BodyText"/>
        <w:numPr>
          <w:ilvl w:val="3"/>
          <w:numId w:val="18"/>
        </w:numPr>
        <w:spacing w:before="87" w:line="360" w:lineRule="auto"/>
        <w:ind w:left="0" w:firstLine="180"/>
        <w:jc w:val="both"/>
        <w:rPr>
          <w:rFonts w:asciiTheme="majorBidi" w:hAnsiTheme="majorBidi" w:cstheme="majorBidi"/>
          <w:color w:val="221F1F"/>
        </w:rPr>
      </w:pPr>
      <w:r w:rsidRPr="00161ABC">
        <w:rPr>
          <w:rFonts w:asciiTheme="majorBidi" w:hAnsiTheme="majorBidi" w:cstheme="majorBidi"/>
          <w:color w:val="221F1F"/>
        </w:rPr>
        <w:t>Respiratory rate</w:t>
      </w:r>
    </w:p>
    <w:tbl>
      <w:tblPr>
        <w:tblStyle w:val="TableGrid"/>
        <w:tblW w:w="0" w:type="auto"/>
        <w:jc w:val="center"/>
        <w:tblLook w:val="04A0" w:firstRow="1" w:lastRow="0" w:firstColumn="1" w:lastColumn="0" w:noHBand="0" w:noVBand="1"/>
      </w:tblPr>
      <w:tblGrid>
        <w:gridCol w:w="3233"/>
        <w:gridCol w:w="3233"/>
      </w:tblGrid>
      <w:tr w:rsidR="00161ABC" w:rsidRPr="00161ABC" w:rsidTr="00161ABC">
        <w:trPr>
          <w:jc w:val="center"/>
        </w:trPr>
        <w:tc>
          <w:tcPr>
            <w:tcW w:w="6466" w:type="dxa"/>
            <w:gridSpan w:val="2"/>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Normal Respiratory Rate by Age</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&lt; 1 year</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30:60</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1:2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24:40</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2:5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22:34</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6:12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18:30</w:t>
            </w:r>
          </w:p>
        </w:tc>
      </w:tr>
      <w:tr w:rsidR="00161ABC" w:rsidRPr="00161ABC" w:rsidTr="00161ABC">
        <w:trPr>
          <w:jc w:val="center"/>
        </w:trPr>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lastRenderedPageBreak/>
              <w:t>Over 12 years</w:t>
            </w:r>
          </w:p>
        </w:tc>
        <w:tc>
          <w:tcPr>
            <w:tcW w:w="3233" w:type="dxa"/>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12:20</w:t>
            </w:r>
          </w:p>
        </w:tc>
      </w:tr>
    </w:tbl>
    <w:p w:rsidR="00161ABC" w:rsidRPr="00161ABC" w:rsidRDefault="00161ABC" w:rsidP="00161ABC">
      <w:pPr>
        <w:pStyle w:val="BodyText"/>
        <w:spacing w:before="87" w:line="360" w:lineRule="auto"/>
        <w:jc w:val="both"/>
        <w:rPr>
          <w:rFonts w:asciiTheme="majorBidi" w:hAnsiTheme="majorBidi" w:cstheme="majorBidi"/>
          <w:color w:val="221F1F"/>
        </w:rPr>
      </w:pPr>
    </w:p>
    <w:p w:rsidR="00794709" w:rsidRPr="00794709" w:rsidRDefault="00794709" w:rsidP="00794709">
      <w:pPr>
        <w:pStyle w:val="BodyText"/>
        <w:spacing w:before="87" w:line="360" w:lineRule="auto"/>
        <w:jc w:val="both"/>
        <w:rPr>
          <w:rFonts w:asciiTheme="majorBidi" w:hAnsiTheme="majorBidi" w:cstheme="majorBidi"/>
          <w:color w:val="221F1F"/>
        </w:rPr>
      </w:pPr>
      <w:proofErr w:type="gramStart"/>
      <w:r w:rsidRPr="00794709">
        <w:rPr>
          <w:rFonts w:asciiTheme="majorBidi" w:hAnsiTheme="majorBidi" w:cstheme="majorBidi"/>
          <w:color w:val="221F1F"/>
        </w:rPr>
        <w:t>o</w:t>
      </w:r>
      <w:proofErr w:type="gramEnd"/>
      <w:r w:rsidRPr="00794709">
        <w:rPr>
          <w:rFonts w:asciiTheme="majorBidi" w:hAnsiTheme="majorBidi" w:cstheme="majorBidi"/>
          <w:color w:val="221F1F"/>
        </w:rPr>
        <w:tab/>
        <w:t>Systemic assessment:</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 xml:space="preserve">Gastrointestinal assessment: Remembering presence of trademark smell for mouth, </w:t>
      </w:r>
      <w:proofErr w:type="spellStart"/>
      <w:r w:rsidRPr="00794709">
        <w:rPr>
          <w:rFonts w:asciiTheme="majorBidi" w:hAnsiTheme="majorBidi" w:cstheme="majorBidi"/>
          <w:color w:val="221F1F"/>
        </w:rPr>
        <w:t>buccopharyngeal</w:t>
      </w:r>
      <w:proofErr w:type="spellEnd"/>
      <w:r w:rsidRPr="00794709">
        <w:rPr>
          <w:rFonts w:asciiTheme="majorBidi" w:hAnsiTheme="majorBidi" w:cstheme="majorBidi"/>
          <w:color w:val="221F1F"/>
        </w:rPr>
        <w:t xml:space="preserve"> disintegrations, dysphagia, sickness, retching, the runs, stomach inflexibility, hematemesis, melena, blockage, ileus or </w:t>
      </w:r>
      <w:proofErr w:type="spellStart"/>
      <w:r w:rsidRPr="00794709">
        <w:rPr>
          <w:rFonts w:asciiTheme="majorBidi" w:hAnsiTheme="majorBidi" w:cstheme="majorBidi"/>
          <w:color w:val="221F1F"/>
        </w:rPr>
        <w:t>organomegaly</w:t>
      </w:r>
      <w:proofErr w:type="spellEnd"/>
      <w:r w:rsidRPr="00794709">
        <w:rPr>
          <w:rFonts w:asciiTheme="majorBidi" w:hAnsiTheme="majorBidi" w:cstheme="majorBidi"/>
          <w:color w:val="221F1F"/>
        </w:rPr>
        <w:t>.</w:t>
      </w:r>
    </w:p>
    <w:p w:rsidR="00794709" w:rsidRPr="00794709"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 xml:space="preserve">Cardiovascular assessment: Including presence of unusual or intangible heartbeat, lessened, overstated or strange heart </w:t>
      </w:r>
      <w:proofErr w:type="gramStart"/>
      <w:r w:rsidRPr="00794709">
        <w:rPr>
          <w:rFonts w:asciiTheme="majorBidi" w:hAnsiTheme="majorBidi" w:cstheme="majorBidi"/>
          <w:color w:val="221F1F"/>
        </w:rPr>
        <w:t>sounds,</w:t>
      </w:r>
      <w:proofErr w:type="gramEnd"/>
      <w:r w:rsidRPr="00794709">
        <w:rPr>
          <w:rFonts w:asciiTheme="majorBidi" w:hAnsiTheme="majorBidi" w:cstheme="majorBidi"/>
          <w:color w:val="221F1F"/>
        </w:rPr>
        <w:t xml:space="preserve"> mumbles or heart failure.</w:t>
      </w:r>
    </w:p>
    <w:p w:rsidR="00794709" w:rsidRPr="00794709" w:rsidRDefault="00794709" w:rsidP="00794709">
      <w:pPr>
        <w:pStyle w:val="BodyText"/>
        <w:spacing w:before="87" w:line="360" w:lineRule="auto"/>
        <w:jc w:val="both"/>
        <w:rPr>
          <w:rFonts w:asciiTheme="majorBidi" w:hAnsiTheme="majorBidi" w:cstheme="majorBidi"/>
          <w:color w:val="221F1F"/>
          <w:rtl/>
        </w:rPr>
      </w:pPr>
      <w:r w:rsidRPr="00794709">
        <w:rPr>
          <w:rFonts w:asciiTheme="majorBidi" w:hAnsiTheme="majorBidi" w:cstheme="majorBidi"/>
          <w:color w:val="221F1F"/>
        </w:rPr>
        <w:t>•</w:t>
      </w:r>
      <w:r w:rsidRPr="00794709">
        <w:rPr>
          <w:rFonts w:asciiTheme="majorBidi" w:hAnsiTheme="majorBidi" w:cstheme="majorBidi"/>
          <w:color w:val="221F1F"/>
        </w:rPr>
        <w:tab/>
        <w:t xml:space="preserve">Respiratory framework assessment: Including presence of hack, discharge, hemoptysis, apnea, tachypnea, </w:t>
      </w:r>
      <w:proofErr w:type="spellStart"/>
      <w:r w:rsidRPr="00794709">
        <w:rPr>
          <w:rFonts w:asciiTheme="majorBidi" w:hAnsiTheme="majorBidi" w:cstheme="majorBidi"/>
          <w:color w:val="221F1F"/>
        </w:rPr>
        <w:t>bradypnea</w:t>
      </w:r>
      <w:proofErr w:type="spellEnd"/>
      <w:r w:rsidRPr="00794709">
        <w:rPr>
          <w:rFonts w:asciiTheme="majorBidi" w:hAnsiTheme="majorBidi" w:cstheme="majorBidi"/>
          <w:color w:val="221F1F"/>
        </w:rPr>
        <w:t xml:space="preserve">, respiratory misery, stridor, unusual example of breathing, decreased air passage or presence of extrinsic sounds as wheezes and </w:t>
      </w:r>
      <w:proofErr w:type="spellStart"/>
      <w:r w:rsidRPr="00794709">
        <w:rPr>
          <w:rFonts w:asciiTheme="majorBidi" w:hAnsiTheme="majorBidi" w:cstheme="majorBidi"/>
          <w:color w:val="221F1F"/>
        </w:rPr>
        <w:t>crepitations</w:t>
      </w:r>
      <w:proofErr w:type="spellEnd"/>
      <w:r w:rsidRPr="00794709">
        <w:rPr>
          <w:rFonts w:asciiTheme="majorBidi" w:hAnsiTheme="majorBidi" w:cstheme="majorBidi"/>
          <w:color w:val="221F1F"/>
        </w:rPr>
        <w:t>.</w:t>
      </w:r>
    </w:p>
    <w:p w:rsidR="00161ABC" w:rsidRPr="00161ABC" w:rsidRDefault="00794709" w:rsidP="00794709">
      <w:pPr>
        <w:pStyle w:val="BodyText"/>
        <w:spacing w:before="87" w:line="360" w:lineRule="auto"/>
        <w:jc w:val="both"/>
        <w:rPr>
          <w:rFonts w:asciiTheme="majorBidi" w:hAnsiTheme="majorBidi" w:cstheme="majorBidi"/>
          <w:color w:val="221F1F"/>
        </w:rPr>
      </w:pPr>
      <w:r w:rsidRPr="00794709">
        <w:rPr>
          <w:rFonts w:asciiTheme="majorBidi" w:hAnsiTheme="majorBidi" w:cstheme="majorBidi"/>
          <w:color w:val="221F1F"/>
        </w:rPr>
        <w:t>•</w:t>
      </w:r>
      <w:r w:rsidRPr="00794709">
        <w:rPr>
          <w:rFonts w:asciiTheme="majorBidi" w:hAnsiTheme="majorBidi" w:cstheme="majorBidi"/>
          <w:color w:val="221F1F"/>
        </w:rPr>
        <w:tab/>
        <w:t>Neurological assessment: The degree of awareness of patients under review was evaluated by Reed's arrangement</w:t>
      </w:r>
    </w:p>
    <w:tbl>
      <w:tblPr>
        <w:tblStyle w:val="TableGrid"/>
        <w:tblW w:w="0" w:type="auto"/>
        <w:jc w:val="center"/>
        <w:tblLook w:val="04A0" w:firstRow="1" w:lastRow="0" w:firstColumn="1" w:lastColumn="0" w:noHBand="0" w:noVBand="1"/>
      </w:tblPr>
      <w:tblGrid>
        <w:gridCol w:w="1507"/>
        <w:gridCol w:w="1367"/>
        <w:gridCol w:w="1336"/>
        <w:gridCol w:w="356"/>
        <w:gridCol w:w="356"/>
        <w:gridCol w:w="1243"/>
      </w:tblGrid>
      <w:tr w:rsidR="00161ABC" w:rsidRPr="00161ABC" w:rsidTr="00161ABC">
        <w:trPr>
          <w:jc w:val="center"/>
        </w:trPr>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Stage</w:t>
            </w:r>
          </w:p>
        </w:tc>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0</w:t>
            </w:r>
          </w:p>
        </w:tc>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1</w:t>
            </w:r>
          </w:p>
        </w:tc>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2</w:t>
            </w:r>
          </w:p>
        </w:tc>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3</w:t>
            </w:r>
          </w:p>
        </w:tc>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4</w:t>
            </w:r>
          </w:p>
        </w:tc>
      </w:tr>
      <w:tr w:rsidR="00161ABC" w:rsidRPr="00161ABC" w:rsidTr="00161ABC">
        <w:trPr>
          <w:jc w:val="center"/>
        </w:trPr>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Confusion</w:t>
            </w:r>
          </w:p>
        </w:tc>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Asleep</w:t>
            </w:r>
          </w:p>
        </w:tc>
        <w:tc>
          <w:tcPr>
            <w:tcW w:w="0" w:type="auto"/>
            <w:gridSpan w:val="4"/>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Comatose</w:t>
            </w:r>
          </w:p>
        </w:tc>
      </w:tr>
      <w:tr w:rsidR="00161ABC" w:rsidRPr="00161ABC" w:rsidTr="00161ABC">
        <w:trPr>
          <w:jc w:val="center"/>
        </w:trPr>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Pain</w:t>
            </w:r>
          </w:p>
        </w:tc>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proofErr w:type="spellStart"/>
            <w:r w:rsidRPr="00161ABC">
              <w:rPr>
                <w:rFonts w:asciiTheme="majorBidi" w:hAnsiTheme="majorBidi" w:cstheme="majorBidi"/>
                <w:color w:val="221F1F"/>
              </w:rPr>
              <w:t>Arousable</w:t>
            </w:r>
            <w:proofErr w:type="spellEnd"/>
          </w:p>
        </w:tc>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Withdraw</w:t>
            </w:r>
          </w:p>
        </w:tc>
        <w:tc>
          <w:tcPr>
            <w:tcW w:w="0" w:type="auto"/>
            <w:gridSpan w:val="3"/>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None</w:t>
            </w:r>
          </w:p>
        </w:tc>
      </w:tr>
      <w:tr w:rsidR="00161ABC" w:rsidRPr="00161ABC" w:rsidTr="00161ABC">
        <w:trPr>
          <w:jc w:val="center"/>
        </w:trPr>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Reflex</w:t>
            </w:r>
          </w:p>
        </w:tc>
        <w:tc>
          <w:tcPr>
            <w:tcW w:w="0" w:type="auto"/>
            <w:gridSpan w:val="3"/>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Intact</w:t>
            </w:r>
          </w:p>
        </w:tc>
        <w:tc>
          <w:tcPr>
            <w:tcW w:w="0" w:type="auto"/>
            <w:gridSpan w:val="2"/>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Absent</w:t>
            </w:r>
          </w:p>
        </w:tc>
      </w:tr>
      <w:tr w:rsidR="00161ABC" w:rsidRPr="00161ABC" w:rsidTr="00161ABC">
        <w:trPr>
          <w:jc w:val="center"/>
        </w:trPr>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Respiration</w:t>
            </w:r>
          </w:p>
        </w:tc>
        <w:tc>
          <w:tcPr>
            <w:tcW w:w="0" w:type="auto"/>
            <w:gridSpan w:val="4"/>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Normal</w:t>
            </w:r>
          </w:p>
        </w:tc>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Cyanosis</w:t>
            </w:r>
          </w:p>
        </w:tc>
      </w:tr>
      <w:tr w:rsidR="00161ABC" w:rsidRPr="00161ABC" w:rsidTr="00161ABC">
        <w:trPr>
          <w:jc w:val="center"/>
        </w:trPr>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Circulation</w:t>
            </w:r>
          </w:p>
        </w:tc>
        <w:tc>
          <w:tcPr>
            <w:tcW w:w="0" w:type="auto"/>
            <w:gridSpan w:val="4"/>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Normal</w:t>
            </w:r>
          </w:p>
        </w:tc>
        <w:tc>
          <w:tcPr>
            <w:tcW w:w="0" w:type="auto"/>
          </w:tcPr>
          <w:p w:rsidR="00161ABC" w:rsidRPr="00161ABC" w:rsidRDefault="00161ABC" w:rsidP="00161ABC">
            <w:pPr>
              <w:pStyle w:val="BodyText"/>
              <w:spacing w:before="87" w:line="360" w:lineRule="auto"/>
              <w:jc w:val="both"/>
              <w:rPr>
                <w:rFonts w:asciiTheme="majorBidi" w:hAnsiTheme="majorBidi" w:cstheme="majorBidi"/>
                <w:color w:val="221F1F"/>
              </w:rPr>
            </w:pPr>
            <w:r w:rsidRPr="00161ABC">
              <w:rPr>
                <w:rFonts w:asciiTheme="majorBidi" w:hAnsiTheme="majorBidi" w:cstheme="majorBidi"/>
                <w:color w:val="221F1F"/>
              </w:rPr>
              <w:t>Shock</w:t>
            </w:r>
          </w:p>
        </w:tc>
      </w:tr>
    </w:tbl>
    <w:p w:rsidR="00161ABC" w:rsidRPr="00161ABC" w:rsidRDefault="00161ABC" w:rsidP="00161ABC">
      <w:pPr>
        <w:pStyle w:val="BodyText"/>
        <w:spacing w:before="87" w:line="360" w:lineRule="auto"/>
        <w:jc w:val="both"/>
        <w:rPr>
          <w:rFonts w:asciiTheme="majorBidi" w:hAnsiTheme="majorBidi" w:cstheme="majorBidi"/>
          <w:color w:val="221F1F"/>
        </w:rPr>
      </w:pPr>
    </w:p>
    <w:p w:rsidR="00794709" w:rsidRPr="00794709" w:rsidRDefault="00794709" w:rsidP="00794709">
      <w:pPr>
        <w:pStyle w:val="BodyText"/>
        <w:spacing w:before="87" w:line="360" w:lineRule="auto"/>
        <w:jc w:val="both"/>
        <w:rPr>
          <w:rFonts w:asciiTheme="majorBidi" w:hAnsiTheme="majorBidi" w:cstheme="majorBidi"/>
          <w:bCs/>
          <w:color w:val="221F1F"/>
        </w:rPr>
      </w:pPr>
      <w:proofErr w:type="gramStart"/>
      <w:r w:rsidRPr="00794709">
        <w:rPr>
          <w:rFonts w:asciiTheme="majorBidi" w:hAnsiTheme="majorBidi" w:cstheme="majorBidi"/>
          <w:bCs/>
          <w:color w:val="221F1F"/>
        </w:rPr>
        <w:t>o</w:t>
      </w:r>
      <w:proofErr w:type="gramEnd"/>
      <w:r w:rsidRPr="00794709">
        <w:rPr>
          <w:rFonts w:asciiTheme="majorBidi" w:hAnsiTheme="majorBidi" w:cstheme="majorBidi"/>
          <w:bCs/>
          <w:color w:val="221F1F"/>
        </w:rPr>
        <w:tab/>
        <w:t>Genitourinary assessment: Including polyuria, hematuria, oliguria, anuria, incontinence, urinary maintenance or pee staining</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They additionally went through research center examinations as:</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lastRenderedPageBreak/>
        <w:t>•</w:t>
      </w:r>
      <w:r w:rsidRPr="00794709">
        <w:rPr>
          <w:rFonts w:asciiTheme="majorBidi" w:hAnsiTheme="majorBidi" w:cstheme="majorBidi"/>
          <w:bCs/>
          <w:color w:val="221F1F"/>
        </w:rPr>
        <w:tab/>
        <w:t xml:space="preserve">Arbitrary blood glucose level: Estimated by Colorimetric strategy utilizing glucose oxidase to catalyze oxidation of glucose to </w:t>
      </w:r>
      <w:proofErr w:type="spellStart"/>
      <w:r w:rsidRPr="00794709">
        <w:rPr>
          <w:rFonts w:asciiTheme="majorBidi" w:hAnsiTheme="majorBidi" w:cstheme="majorBidi"/>
          <w:bCs/>
          <w:color w:val="221F1F"/>
        </w:rPr>
        <w:t>gluconic</w:t>
      </w:r>
      <w:proofErr w:type="spellEnd"/>
      <w:r w:rsidRPr="00794709">
        <w:rPr>
          <w:rFonts w:asciiTheme="majorBidi" w:hAnsiTheme="majorBidi" w:cstheme="majorBidi"/>
          <w:bCs/>
          <w:color w:val="221F1F"/>
        </w:rPr>
        <w:t xml:space="preserve"> corrosive by </w:t>
      </w:r>
      <w:proofErr w:type="spellStart"/>
      <w:r w:rsidRPr="00794709">
        <w:rPr>
          <w:rFonts w:asciiTheme="majorBidi" w:hAnsiTheme="majorBidi" w:cstheme="majorBidi"/>
          <w:bCs/>
          <w:color w:val="221F1F"/>
        </w:rPr>
        <w:t>Spectrophotomer</w:t>
      </w:r>
      <w:proofErr w:type="spellEnd"/>
      <w:r w:rsidRPr="00794709">
        <w:rPr>
          <w:rFonts w:asciiTheme="majorBidi" w:hAnsiTheme="majorBidi" w:cstheme="majorBidi"/>
          <w:bCs/>
          <w:color w:val="221F1F"/>
        </w:rPr>
        <w:t xml:space="preserve"> at frequency 505 nm. Reference Reach: 72-144 mg/dl.</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 xml:space="preserve">Serum electrolytes (sodium and potassium): Standard arrangements were infused in Blood Gas Analyzer and afterward serum tests were infused in the set to decide the serum sodium and potassium levels. Guideline: particle specific cathode method. Reference Reach: Serum sodium: 135-150 </w:t>
      </w:r>
      <w:proofErr w:type="spellStart"/>
      <w:r w:rsidRPr="00794709">
        <w:rPr>
          <w:rFonts w:asciiTheme="majorBidi" w:hAnsiTheme="majorBidi" w:cstheme="majorBidi"/>
          <w:bCs/>
          <w:color w:val="221F1F"/>
        </w:rPr>
        <w:t>mEq</w:t>
      </w:r>
      <w:proofErr w:type="spellEnd"/>
      <w:r w:rsidRPr="00794709">
        <w:rPr>
          <w:rFonts w:asciiTheme="majorBidi" w:hAnsiTheme="majorBidi" w:cstheme="majorBidi"/>
          <w:bCs/>
          <w:color w:val="221F1F"/>
        </w:rPr>
        <w:t xml:space="preserve">/L. Serum potassium: 3.5-5.0 </w:t>
      </w:r>
      <w:proofErr w:type="spellStart"/>
      <w:r w:rsidRPr="00794709">
        <w:rPr>
          <w:rFonts w:asciiTheme="majorBidi" w:hAnsiTheme="majorBidi" w:cstheme="majorBidi"/>
          <w:bCs/>
          <w:color w:val="221F1F"/>
        </w:rPr>
        <w:t>mEq</w:t>
      </w:r>
      <w:proofErr w:type="spellEnd"/>
      <w:r w:rsidRPr="00794709">
        <w:rPr>
          <w:rFonts w:asciiTheme="majorBidi" w:hAnsiTheme="majorBidi" w:cstheme="majorBidi"/>
          <w:bCs/>
          <w:color w:val="221F1F"/>
        </w:rPr>
        <w:t>/L.</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 xml:space="preserve">Kidney capability profile (serum urea and </w:t>
      </w:r>
      <w:proofErr w:type="spellStart"/>
      <w:r w:rsidRPr="00794709">
        <w:rPr>
          <w:rFonts w:asciiTheme="majorBidi" w:hAnsiTheme="majorBidi" w:cstheme="majorBidi"/>
          <w:bCs/>
          <w:color w:val="221F1F"/>
        </w:rPr>
        <w:t>creatinine</w:t>
      </w:r>
      <w:proofErr w:type="spellEnd"/>
      <w:r w:rsidRPr="00794709">
        <w:rPr>
          <w:rFonts w:asciiTheme="majorBidi" w:hAnsiTheme="majorBidi" w:cstheme="majorBidi"/>
          <w:bCs/>
          <w:color w:val="221F1F"/>
        </w:rPr>
        <w:t xml:space="preserve">): by Beckman Coulter AU480 Clinical Science Framework. Reference Reach: Serum urea: 10 - 50 mg/dl. Serum </w:t>
      </w:r>
      <w:proofErr w:type="spellStart"/>
      <w:r w:rsidRPr="00794709">
        <w:rPr>
          <w:rFonts w:asciiTheme="majorBidi" w:hAnsiTheme="majorBidi" w:cstheme="majorBidi"/>
          <w:bCs/>
          <w:color w:val="221F1F"/>
        </w:rPr>
        <w:t>creatinine</w:t>
      </w:r>
      <w:proofErr w:type="spellEnd"/>
      <w:r w:rsidRPr="00794709">
        <w:rPr>
          <w:rFonts w:asciiTheme="majorBidi" w:hAnsiTheme="majorBidi" w:cstheme="majorBidi"/>
          <w:bCs/>
          <w:color w:val="221F1F"/>
        </w:rPr>
        <w:t>: 0.2-1.2 mg/dl</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Liver capability test (Alanine Aminotransferase and Aspartate Aminotransferase): It was finished by utilizing NADH Active UV strategy. Reference Reach: AST: 0-40 IU/L. ALT: 0-45 IU/L</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Blood vessel Blood Gas Investigation (ABG): They were broke down for evaluation of the accompanying (pH, PaCO2, PaO2, SaO2 and HCO3). Rule: It is a particle specific cathode strategy.</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Reference Reaches:</w:t>
      </w:r>
    </w:p>
    <w:p w:rsidR="00794709" w:rsidRPr="00794709" w:rsidRDefault="00794709" w:rsidP="00794709">
      <w:pPr>
        <w:pStyle w:val="BodyText"/>
        <w:spacing w:before="87" w:line="360" w:lineRule="auto"/>
        <w:jc w:val="both"/>
        <w:rPr>
          <w:rFonts w:asciiTheme="majorBidi" w:hAnsiTheme="majorBidi" w:cstheme="majorBidi"/>
          <w:bCs/>
          <w:color w:val="221F1F"/>
        </w:rPr>
      </w:pPr>
      <w:proofErr w:type="gramStart"/>
      <w:r w:rsidRPr="00794709">
        <w:rPr>
          <w:rFonts w:asciiTheme="majorBidi" w:hAnsiTheme="majorBidi" w:cstheme="majorBidi"/>
          <w:bCs/>
          <w:color w:val="221F1F"/>
        </w:rPr>
        <w:t>o</w:t>
      </w:r>
      <w:proofErr w:type="gramEnd"/>
      <w:r w:rsidRPr="00794709">
        <w:rPr>
          <w:rFonts w:asciiTheme="majorBidi" w:hAnsiTheme="majorBidi" w:cstheme="majorBidi"/>
          <w:bCs/>
          <w:color w:val="221F1F"/>
        </w:rPr>
        <w:tab/>
        <w:t>pH: 7.35-7.45.</w:t>
      </w:r>
    </w:p>
    <w:p w:rsidR="00794709" w:rsidRPr="00794709" w:rsidRDefault="00794709" w:rsidP="00794709">
      <w:pPr>
        <w:pStyle w:val="BodyText"/>
        <w:spacing w:before="87" w:line="360" w:lineRule="auto"/>
        <w:jc w:val="both"/>
        <w:rPr>
          <w:rFonts w:asciiTheme="majorBidi" w:hAnsiTheme="majorBidi" w:cstheme="majorBidi"/>
          <w:bCs/>
          <w:color w:val="221F1F"/>
        </w:rPr>
      </w:pPr>
      <w:proofErr w:type="gramStart"/>
      <w:r w:rsidRPr="00794709">
        <w:rPr>
          <w:rFonts w:asciiTheme="majorBidi" w:hAnsiTheme="majorBidi" w:cstheme="majorBidi"/>
          <w:bCs/>
          <w:color w:val="221F1F"/>
        </w:rPr>
        <w:t>o</w:t>
      </w:r>
      <w:proofErr w:type="gramEnd"/>
      <w:r w:rsidRPr="00794709">
        <w:rPr>
          <w:rFonts w:asciiTheme="majorBidi" w:hAnsiTheme="majorBidi" w:cstheme="majorBidi"/>
          <w:bCs/>
          <w:color w:val="221F1F"/>
        </w:rPr>
        <w:tab/>
        <w:t>PaO2: 80-100 mmHg.</w:t>
      </w:r>
    </w:p>
    <w:p w:rsidR="00794709" w:rsidRPr="00794709" w:rsidRDefault="00794709" w:rsidP="00794709">
      <w:pPr>
        <w:pStyle w:val="BodyText"/>
        <w:spacing w:before="87" w:line="360" w:lineRule="auto"/>
        <w:jc w:val="both"/>
        <w:rPr>
          <w:rFonts w:asciiTheme="majorBidi" w:hAnsiTheme="majorBidi" w:cstheme="majorBidi"/>
          <w:bCs/>
          <w:color w:val="221F1F"/>
        </w:rPr>
      </w:pPr>
      <w:proofErr w:type="gramStart"/>
      <w:r w:rsidRPr="00794709">
        <w:rPr>
          <w:rFonts w:asciiTheme="majorBidi" w:hAnsiTheme="majorBidi" w:cstheme="majorBidi"/>
          <w:bCs/>
          <w:color w:val="221F1F"/>
        </w:rPr>
        <w:t>o</w:t>
      </w:r>
      <w:proofErr w:type="gramEnd"/>
      <w:r w:rsidRPr="00794709">
        <w:rPr>
          <w:rFonts w:asciiTheme="majorBidi" w:hAnsiTheme="majorBidi" w:cstheme="majorBidi"/>
          <w:bCs/>
          <w:color w:val="221F1F"/>
        </w:rPr>
        <w:tab/>
        <w:t>PaCO2: 35-45 mmHg.</w:t>
      </w:r>
    </w:p>
    <w:p w:rsidR="00794709" w:rsidRPr="00794709" w:rsidRDefault="00794709" w:rsidP="00794709">
      <w:pPr>
        <w:pStyle w:val="BodyText"/>
        <w:spacing w:before="87" w:line="360" w:lineRule="auto"/>
        <w:jc w:val="both"/>
        <w:rPr>
          <w:rFonts w:asciiTheme="majorBidi" w:hAnsiTheme="majorBidi" w:cstheme="majorBidi"/>
          <w:bCs/>
          <w:color w:val="221F1F"/>
        </w:rPr>
      </w:pPr>
      <w:proofErr w:type="gramStart"/>
      <w:r w:rsidRPr="00794709">
        <w:rPr>
          <w:rFonts w:asciiTheme="majorBidi" w:hAnsiTheme="majorBidi" w:cstheme="majorBidi"/>
          <w:bCs/>
          <w:color w:val="221F1F"/>
        </w:rPr>
        <w:t>o</w:t>
      </w:r>
      <w:proofErr w:type="gramEnd"/>
      <w:r w:rsidRPr="00794709">
        <w:rPr>
          <w:rFonts w:asciiTheme="majorBidi" w:hAnsiTheme="majorBidi" w:cstheme="majorBidi"/>
          <w:bCs/>
          <w:color w:val="221F1F"/>
        </w:rPr>
        <w:tab/>
        <w:t>SaO2: &gt;95%.</w:t>
      </w:r>
    </w:p>
    <w:p w:rsidR="00794709" w:rsidRPr="00794709" w:rsidRDefault="00794709" w:rsidP="00794709">
      <w:pPr>
        <w:pStyle w:val="BodyText"/>
        <w:spacing w:before="87" w:line="360" w:lineRule="auto"/>
        <w:jc w:val="both"/>
        <w:rPr>
          <w:rFonts w:asciiTheme="majorBidi" w:hAnsiTheme="majorBidi" w:cstheme="majorBidi"/>
          <w:bCs/>
          <w:color w:val="221F1F"/>
        </w:rPr>
      </w:pPr>
      <w:proofErr w:type="gramStart"/>
      <w:r w:rsidRPr="00794709">
        <w:rPr>
          <w:rFonts w:asciiTheme="majorBidi" w:hAnsiTheme="majorBidi" w:cstheme="majorBidi"/>
          <w:bCs/>
          <w:color w:val="221F1F"/>
        </w:rPr>
        <w:t>o</w:t>
      </w:r>
      <w:proofErr w:type="gramEnd"/>
      <w:r w:rsidRPr="00794709">
        <w:rPr>
          <w:rFonts w:asciiTheme="majorBidi" w:hAnsiTheme="majorBidi" w:cstheme="majorBidi"/>
          <w:bCs/>
          <w:color w:val="221F1F"/>
        </w:rPr>
        <w:tab/>
        <w:t xml:space="preserve">HCO3: 22-28 </w:t>
      </w:r>
      <w:proofErr w:type="spellStart"/>
      <w:r w:rsidRPr="00794709">
        <w:rPr>
          <w:rFonts w:asciiTheme="majorBidi" w:hAnsiTheme="majorBidi" w:cstheme="majorBidi"/>
          <w:bCs/>
          <w:color w:val="221F1F"/>
        </w:rPr>
        <w:t>mEq</w:t>
      </w:r>
      <w:proofErr w:type="spellEnd"/>
      <w:r w:rsidRPr="00794709">
        <w:rPr>
          <w:rFonts w:asciiTheme="majorBidi" w:hAnsiTheme="majorBidi" w:cstheme="majorBidi"/>
          <w:bCs/>
          <w:color w:val="221F1F"/>
        </w:rPr>
        <w:t>/L.</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 xml:space="preserve">Explicit toxicological research center examinations: They were performed by the patient's requirements for each kind of toxin, for example, estimation of </w:t>
      </w:r>
      <w:proofErr w:type="spellStart"/>
      <w:r w:rsidRPr="00794709">
        <w:rPr>
          <w:rFonts w:asciiTheme="majorBidi" w:hAnsiTheme="majorBidi" w:cstheme="majorBidi"/>
          <w:bCs/>
          <w:color w:val="221F1F"/>
        </w:rPr>
        <w:lastRenderedPageBreak/>
        <w:t>pseudocholinestrase</w:t>
      </w:r>
      <w:proofErr w:type="spellEnd"/>
      <w:r w:rsidRPr="00794709">
        <w:rPr>
          <w:rFonts w:asciiTheme="majorBidi" w:hAnsiTheme="majorBidi" w:cstheme="majorBidi"/>
          <w:bCs/>
          <w:color w:val="221F1F"/>
        </w:rPr>
        <w:t xml:space="preserve"> compound (</w:t>
      </w:r>
      <w:proofErr w:type="spellStart"/>
      <w:r w:rsidRPr="00794709">
        <w:rPr>
          <w:rFonts w:asciiTheme="majorBidi" w:hAnsiTheme="majorBidi" w:cstheme="majorBidi"/>
          <w:bCs/>
          <w:color w:val="221F1F"/>
        </w:rPr>
        <w:t>PChE</w:t>
      </w:r>
      <w:proofErr w:type="spellEnd"/>
      <w:r w:rsidRPr="00794709">
        <w:rPr>
          <w:rFonts w:asciiTheme="majorBidi" w:hAnsiTheme="majorBidi" w:cstheme="majorBidi"/>
          <w:bCs/>
          <w:color w:val="221F1F"/>
        </w:rPr>
        <w:t xml:space="preserve">) level utilizing active colorimetric strategy. Reference Reach: </w:t>
      </w:r>
      <w:proofErr w:type="spellStart"/>
      <w:r w:rsidRPr="00794709">
        <w:rPr>
          <w:rFonts w:asciiTheme="majorBidi" w:hAnsiTheme="majorBidi" w:cstheme="majorBidi"/>
          <w:bCs/>
          <w:color w:val="221F1F"/>
        </w:rPr>
        <w:t>PChE</w:t>
      </w:r>
      <w:proofErr w:type="spellEnd"/>
      <w:r w:rsidRPr="00794709">
        <w:rPr>
          <w:rFonts w:asciiTheme="majorBidi" w:hAnsiTheme="majorBidi" w:cstheme="majorBidi"/>
          <w:bCs/>
          <w:color w:val="221F1F"/>
        </w:rPr>
        <w:t xml:space="preserve"> level: 4000-11000 IU/l.</w:t>
      </w:r>
    </w:p>
    <w:p w:rsidR="00794709" w:rsidRPr="00794709" w:rsidRDefault="00794709" w:rsidP="00794709">
      <w:pPr>
        <w:pStyle w:val="BodyText"/>
        <w:spacing w:before="87" w:line="360" w:lineRule="auto"/>
        <w:jc w:val="both"/>
        <w:rPr>
          <w:rFonts w:asciiTheme="majorBidi" w:hAnsiTheme="majorBidi" w:cstheme="majorBidi"/>
          <w:bCs/>
          <w:color w:val="221F1F"/>
        </w:rPr>
      </w:pPr>
      <w:proofErr w:type="gramStart"/>
      <w:r w:rsidRPr="00794709">
        <w:rPr>
          <w:rFonts w:asciiTheme="majorBidi" w:hAnsiTheme="majorBidi" w:cstheme="majorBidi"/>
          <w:bCs/>
          <w:color w:val="221F1F"/>
        </w:rPr>
        <w:t>o</w:t>
      </w:r>
      <w:proofErr w:type="gramEnd"/>
      <w:r w:rsidRPr="00794709">
        <w:rPr>
          <w:rFonts w:asciiTheme="majorBidi" w:hAnsiTheme="majorBidi" w:cstheme="majorBidi"/>
          <w:bCs/>
          <w:color w:val="221F1F"/>
        </w:rPr>
        <w:tab/>
        <w:t xml:space="preserve">Qualitative drug separating pee was finished utilizing radio immunoassay by drug analyzer </w:t>
      </w:r>
      <w:proofErr w:type="spellStart"/>
      <w:r w:rsidRPr="00794709">
        <w:rPr>
          <w:rFonts w:asciiTheme="majorBidi" w:hAnsiTheme="majorBidi" w:cstheme="majorBidi"/>
          <w:bCs/>
          <w:color w:val="221F1F"/>
        </w:rPr>
        <w:t>thermofisher</w:t>
      </w:r>
      <w:proofErr w:type="spellEnd"/>
      <w:r w:rsidRPr="00794709">
        <w:rPr>
          <w:rFonts w:asciiTheme="majorBidi" w:hAnsiTheme="majorBidi" w:cstheme="majorBidi"/>
          <w:bCs/>
          <w:color w:val="221F1F"/>
        </w:rPr>
        <w:t xml:space="preserve"> </w:t>
      </w:r>
      <w:proofErr w:type="spellStart"/>
      <w:r w:rsidRPr="00794709">
        <w:rPr>
          <w:rFonts w:asciiTheme="majorBidi" w:hAnsiTheme="majorBidi" w:cstheme="majorBidi"/>
          <w:bCs/>
          <w:color w:val="221F1F"/>
        </w:rPr>
        <w:t>CDx</w:t>
      </w:r>
      <w:proofErr w:type="spellEnd"/>
      <w:r w:rsidRPr="00794709">
        <w:rPr>
          <w:rFonts w:asciiTheme="majorBidi" w:hAnsiTheme="majorBidi" w:cstheme="majorBidi"/>
          <w:bCs/>
          <w:color w:val="221F1F"/>
        </w:rPr>
        <w:t xml:space="preserve"> 90.</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Electrocardiography: An ECG was recorded and dissected - at whatever point required.</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CT Cerebrum: CT mind was done - at whatever point required - after quiet's confirmation.</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Treatment measures: Different treatment measures applied to every patient including:</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Crisis treatment: Endotracheal intubation, oxygen organization and mechanical ventilation,</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Strong treatment: Intravenous liquids, H2 blockers, anti-toxins, antiemetic, steroids, dopamine and different vasopressors treatment.</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Purification measures: Emesis, lavage and actuated charcoal.</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 xml:space="preserve">Improved end strategies: Various portion initiated charcoal, </w:t>
      </w:r>
      <w:proofErr w:type="spellStart"/>
      <w:r w:rsidRPr="00794709">
        <w:rPr>
          <w:rFonts w:asciiTheme="majorBidi" w:hAnsiTheme="majorBidi" w:cstheme="majorBidi"/>
          <w:bCs/>
          <w:color w:val="221F1F"/>
        </w:rPr>
        <w:t>alkalinization</w:t>
      </w:r>
      <w:proofErr w:type="spellEnd"/>
      <w:r w:rsidRPr="00794709">
        <w:rPr>
          <w:rFonts w:asciiTheme="majorBidi" w:hAnsiTheme="majorBidi" w:cstheme="majorBidi"/>
          <w:bCs/>
          <w:color w:val="221F1F"/>
        </w:rPr>
        <w:t xml:space="preserve"> of pee and dialysis either hemodialysis or peritoneal dialysis.</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Antitoxin treatment.</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Result (as per clinic attitude) was additionally recorded:</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Span of clinic stay.</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Reasons for admission to the ICU.</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t>
      </w:r>
      <w:r w:rsidRPr="00794709">
        <w:rPr>
          <w:rFonts w:asciiTheme="majorBidi" w:hAnsiTheme="majorBidi" w:cstheme="majorBidi"/>
          <w:bCs/>
          <w:color w:val="221F1F"/>
        </w:rPr>
        <w:tab/>
        <w:t>Result: Complete recuperation - Recuperation with inconvenience - Released against clinical exhortation (AMA) - Move to another division - Mortality - Break.</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lastRenderedPageBreak/>
        <w:t>•</w:t>
      </w:r>
      <w:r w:rsidRPr="00794709">
        <w:rPr>
          <w:rFonts w:asciiTheme="majorBidi" w:hAnsiTheme="majorBidi" w:cstheme="majorBidi"/>
          <w:bCs/>
          <w:color w:val="221F1F"/>
        </w:rPr>
        <w:tab/>
        <w:t xml:space="preserve">Toward the finish of the review, the recorded clinical information of the patients </w:t>
      </w:r>
      <w:proofErr w:type="gramStart"/>
      <w:r w:rsidRPr="00794709">
        <w:rPr>
          <w:rFonts w:asciiTheme="majorBidi" w:hAnsiTheme="majorBidi" w:cstheme="majorBidi"/>
          <w:bCs/>
          <w:color w:val="221F1F"/>
        </w:rPr>
        <w:t>were</w:t>
      </w:r>
      <w:proofErr w:type="gramEnd"/>
      <w:r w:rsidRPr="00794709">
        <w:rPr>
          <w:rFonts w:asciiTheme="majorBidi" w:hAnsiTheme="majorBidi" w:cstheme="majorBidi"/>
          <w:bCs/>
          <w:color w:val="221F1F"/>
        </w:rPr>
        <w:t xml:space="preserve"> organized for factual review.</w:t>
      </w:r>
    </w:p>
    <w:p w:rsidR="00794709" w:rsidRPr="00794709" w:rsidRDefault="00794709" w:rsidP="00794709">
      <w:pPr>
        <w:pStyle w:val="BodyText"/>
        <w:spacing w:before="87" w:line="360" w:lineRule="auto"/>
        <w:jc w:val="both"/>
        <w:rPr>
          <w:rFonts w:asciiTheme="majorBidi" w:hAnsiTheme="majorBidi" w:cstheme="majorBidi"/>
          <w:bCs/>
          <w:color w:val="221F1F"/>
          <w:rtl/>
        </w:rPr>
      </w:pP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The accompanying results were gathered from the subjects; age, sex, home, control of the parent, the material of harming, how much the material of harming, the time delay until looking for clinical help, the method of show, emergency treatment estimates that were attempted, explicit enemy of harming measures that were embraced, examinations that were mentioned, and the ultimate result (improvement or deteriorating of the condition up to death).</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The essential (primary) result was to survey the rate of harming with various substances among kids in the period from January 2020 to December 2021. Auxiliary results included assessing the board of those patients and deciding the result of harming among those kids.</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For factual examination, information was checked, entered and broke down involving the Measurable Bundle for Sociologies (SPSS) rendition 23 for information handling. The accompanying factual techniques were utilized for investigation of consequences of the current review:</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Information was communicated as number and rate for subjective factors and mean + standard deviation (SD) for quantitative one.</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Information was summed up utilizing the number juggling mean ( ) as a normal portraying the focal propensity of perceptions:</w:t>
      </w:r>
    </w:p>
    <w:p w:rsidR="00794709" w:rsidRPr="00794709" w:rsidRDefault="00794709" w:rsidP="00794709">
      <w:pPr>
        <w:pStyle w:val="BodyText"/>
        <w:spacing w:before="87" w:line="360" w:lineRule="auto"/>
        <w:jc w:val="both"/>
        <w:rPr>
          <w:rFonts w:asciiTheme="majorBidi" w:hAnsiTheme="majorBidi" w:cstheme="majorBidi"/>
          <w:bCs/>
          <w:color w:val="221F1F"/>
          <w:rtl/>
        </w:rPr>
      </w:pP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Where:</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ab/>
        <w:t xml:space="preserve"> Σ = Amount of.</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ab/>
        <w:t xml:space="preserve"> Х = Individual information.</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lastRenderedPageBreak/>
        <w:tab/>
        <w:t xml:space="preserve"> n = Number of individual information.</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Information was likewise summed up utilizing the standard deviation (SD) as a proportion of scattering of the outcomes around the mean:</w:t>
      </w:r>
    </w:p>
    <w:p w:rsidR="00794709" w:rsidRPr="00794709" w:rsidRDefault="00794709" w:rsidP="00794709">
      <w:pPr>
        <w:pStyle w:val="BodyText"/>
        <w:spacing w:before="87" w:line="360" w:lineRule="auto"/>
        <w:jc w:val="both"/>
        <w:rPr>
          <w:rFonts w:asciiTheme="majorBidi" w:hAnsiTheme="majorBidi" w:cstheme="majorBidi"/>
          <w:bCs/>
          <w:color w:val="221F1F"/>
          <w:rtl/>
        </w:rPr>
      </w:pP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The correlation was finished utilizing:</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I - The understudy "t" test for correlation of method for two autonomous gatherings:</w:t>
      </w:r>
    </w:p>
    <w:p w:rsidR="00794709" w:rsidRPr="00794709" w:rsidRDefault="00794709" w:rsidP="00794709">
      <w:pPr>
        <w:pStyle w:val="BodyText"/>
        <w:spacing w:before="87" w:line="360" w:lineRule="auto"/>
        <w:jc w:val="both"/>
        <w:rPr>
          <w:rFonts w:asciiTheme="majorBidi" w:hAnsiTheme="majorBidi" w:cstheme="majorBidi"/>
          <w:bCs/>
          <w:color w:val="221F1F"/>
          <w:rtl/>
        </w:rPr>
      </w:pP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Where:</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 xml:space="preserve"> 1, 2 = the mean of the first and second gatherings individually.</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n1, n2 = number of the first and second gatherings separately.</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SD1, SD2 = the standard deviation of the first and second gatherings individually.</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ab/>
        <w:t>The aftereffects of the "t" esteem were then actually looked at utilizing understudy "t" table at level of opportunity (</w:t>
      </w:r>
      <w:proofErr w:type="spellStart"/>
      <w:proofErr w:type="gramStart"/>
      <w:r w:rsidRPr="00794709">
        <w:rPr>
          <w:rFonts w:asciiTheme="majorBidi" w:hAnsiTheme="majorBidi" w:cstheme="majorBidi"/>
          <w:bCs/>
          <w:color w:val="221F1F"/>
        </w:rPr>
        <w:t>df</w:t>
      </w:r>
      <w:proofErr w:type="spellEnd"/>
      <w:proofErr w:type="gramEnd"/>
      <w:r w:rsidRPr="00794709">
        <w:rPr>
          <w:rFonts w:asciiTheme="majorBidi" w:hAnsiTheme="majorBidi" w:cstheme="majorBidi"/>
          <w:bCs/>
          <w:color w:val="221F1F"/>
        </w:rPr>
        <w:t xml:space="preserve"> = n1 +n2 - 2) to figure out the degree of importance (p-esteem).</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II - Mann Whitney test was utilized to compute contrast between quantitative factors in not regularly conveyed information in two gatherings.</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III - Chi-square test (X2) was utilized to track down the relationship among line and section factors.</w:t>
      </w:r>
    </w:p>
    <w:p w:rsidR="00794709" w:rsidRPr="00794709" w:rsidRDefault="00794709" w:rsidP="00794709">
      <w:pPr>
        <w:pStyle w:val="BodyText"/>
        <w:spacing w:before="87" w:line="360" w:lineRule="auto"/>
        <w:jc w:val="both"/>
        <w:rPr>
          <w:rFonts w:asciiTheme="majorBidi" w:hAnsiTheme="majorBidi" w:cstheme="majorBidi"/>
          <w:bCs/>
          <w:color w:val="221F1F"/>
          <w:rtl/>
        </w:rPr>
      </w:pP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Where:</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O = noticed esteem</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E = anticipated esteem = (line absolute x section all out)</w:t>
      </w:r>
      <w:proofErr w:type="gramStart"/>
      <w:r w:rsidRPr="00794709">
        <w:rPr>
          <w:rFonts w:asciiTheme="majorBidi" w:hAnsiTheme="majorBidi" w:cstheme="majorBidi"/>
          <w:bCs/>
          <w:color w:val="221F1F"/>
        </w:rPr>
        <w:t>/(</w:t>
      </w:r>
      <w:proofErr w:type="gramEnd"/>
      <w:r w:rsidRPr="00794709">
        <w:rPr>
          <w:rFonts w:asciiTheme="majorBidi" w:hAnsiTheme="majorBidi" w:cstheme="majorBidi"/>
          <w:bCs/>
          <w:color w:val="221F1F"/>
        </w:rPr>
        <w:t>fantastic aggregate)</w:t>
      </w:r>
    </w:p>
    <w:p w:rsidR="00794709" w:rsidRPr="00794709" w:rsidRDefault="00794709" w:rsidP="00794709">
      <w:pPr>
        <w:pStyle w:val="BodyText"/>
        <w:spacing w:before="87" w:line="360" w:lineRule="auto"/>
        <w:jc w:val="both"/>
        <w:rPr>
          <w:rFonts w:asciiTheme="majorBidi" w:hAnsiTheme="majorBidi" w:cstheme="majorBidi"/>
          <w:bCs/>
          <w:color w:val="221F1F"/>
        </w:rPr>
      </w:pPr>
      <w:proofErr w:type="spellStart"/>
      <w:proofErr w:type="gramStart"/>
      <w:r w:rsidRPr="00794709">
        <w:rPr>
          <w:rFonts w:asciiTheme="majorBidi" w:hAnsiTheme="majorBidi" w:cstheme="majorBidi"/>
          <w:bCs/>
          <w:color w:val="221F1F"/>
        </w:rPr>
        <w:t>df</w:t>
      </w:r>
      <w:proofErr w:type="spellEnd"/>
      <w:proofErr w:type="gramEnd"/>
      <w:r w:rsidRPr="00794709">
        <w:rPr>
          <w:rFonts w:asciiTheme="majorBidi" w:hAnsiTheme="majorBidi" w:cstheme="majorBidi"/>
          <w:bCs/>
          <w:color w:val="221F1F"/>
        </w:rPr>
        <w:t xml:space="preserve"> = level of opportunity.</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lastRenderedPageBreak/>
        <w:t>r = column</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c = segment</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IV - Z-test for rate: to think about level of result between the two gatherings.</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V - Chances proportion (OR): Looks at the chances or the gamble that a sickness will happen among people who have a specific trademark or who have been communicated to a gamble element to the Chances that the illness will happen in people who miss the mark on trademark or have not been uncovered.</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The t measurement to test whether the means are different can be determined as follows:</w:t>
      </w:r>
    </w:p>
    <w:p w:rsidR="00794709" w:rsidRPr="00794709" w:rsidRDefault="00794709" w:rsidP="00794709">
      <w:pPr>
        <w:pStyle w:val="BodyText"/>
        <w:spacing w:before="87" w:line="360" w:lineRule="auto"/>
        <w:jc w:val="both"/>
        <w:rPr>
          <w:rFonts w:asciiTheme="majorBidi" w:hAnsiTheme="majorBidi" w:cstheme="majorBidi"/>
          <w:bCs/>
          <w:color w:val="221F1F"/>
          <w:rtl/>
        </w:rPr>
      </w:pP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Level of importance: For all previously mentioned factual tests done, the limit of importance was fixed at 5% level (P-esteem).</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 P worth of &gt; 0.05 shows non-huge outcomes.</w:t>
      </w:r>
    </w:p>
    <w:p w:rsidR="00794709" w:rsidRP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 P worth of &lt; 0.05 demonstrates huge outcomes.</w:t>
      </w:r>
    </w:p>
    <w:p w:rsidR="00794709" w:rsidRDefault="00794709" w:rsidP="00794709">
      <w:pPr>
        <w:pStyle w:val="BodyText"/>
        <w:spacing w:before="87" w:line="360" w:lineRule="auto"/>
        <w:jc w:val="both"/>
        <w:rPr>
          <w:rFonts w:asciiTheme="majorBidi" w:hAnsiTheme="majorBidi" w:cstheme="majorBidi"/>
          <w:bCs/>
          <w:color w:val="221F1F"/>
        </w:rPr>
      </w:pPr>
      <w:r w:rsidRPr="00794709">
        <w:rPr>
          <w:rFonts w:asciiTheme="majorBidi" w:hAnsiTheme="majorBidi" w:cstheme="majorBidi"/>
          <w:bCs/>
          <w:color w:val="221F1F"/>
        </w:rPr>
        <w:t xml:space="preserve">The more modest the P esteem got the </w:t>
      </w:r>
      <w:proofErr w:type="gramStart"/>
      <w:r w:rsidRPr="00794709">
        <w:rPr>
          <w:rFonts w:asciiTheme="majorBidi" w:hAnsiTheme="majorBidi" w:cstheme="majorBidi"/>
          <w:bCs/>
          <w:color w:val="221F1F"/>
        </w:rPr>
        <w:t>more huge</w:t>
      </w:r>
      <w:proofErr w:type="gramEnd"/>
      <w:r w:rsidRPr="00794709">
        <w:rPr>
          <w:rFonts w:asciiTheme="majorBidi" w:hAnsiTheme="majorBidi" w:cstheme="majorBidi"/>
          <w:bCs/>
          <w:color w:val="221F1F"/>
        </w:rPr>
        <w:t xml:space="preserve"> are the </w:t>
      </w:r>
      <w:proofErr w:type="spellStart"/>
      <w:r w:rsidRPr="00794709">
        <w:rPr>
          <w:rFonts w:asciiTheme="majorBidi" w:hAnsiTheme="majorBidi" w:cstheme="majorBidi"/>
          <w:bCs/>
          <w:color w:val="221F1F"/>
        </w:rPr>
        <w:t>outcomes.</w:t>
      </w:r>
      <w:proofErr w:type="spellEnd"/>
    </w:p>
    <w:p w:rsidR="001E4A46" w:rsidRDefault="001E4A46" w:rsidP="001E4A46">
      <w:pPr>
        <w:bidi w:val="0"/>
        <w:spacing w:before="240" w:line="360" w:lineRule="auto"/>
        <w:ind w:firstLine="720"/>
        <w:jc w:val="both"/>
        <w:rPr>
          <w:rFonts w:asciiTheme="majorBidi" w:hAnsiTheme="majorBidi" w:cstheme="majorBidi"/>
          <w:sz w:val="28"/>
          <w:szCs w:val="28"/>
        </w:rPr>
      </w:pPr>
    </w:p>
    <w:p w:rsidR="001E4A46" w:rsidRDefault="001E4A46" w:rsidP="001E4A46">
      <w:pPr>
        <w:bidi w:val="0"/>
        <w:spacing w:before="240" w:line="360" w:lineRule="auto"/>
        <w:ind w:firstLine="720"/>
        <w:jc w:val="both"/>
        <w:rPr>
          <w:rFonts w:asciiTheme="majorBidi" w:hAnsiTheme="majorBidi" w:cstheme="majorBidi"/>
          <w:sz w:val="28"/>
          <w:szCs w:val="28"/>
        </w:rPr>
      </w:pPr>
    </w:p>
    <w:p w:rsidR="001E4A46" w:rsidRDefault="001E4A46" w:rsidP="001E4A46">
      <w:pPr>
        <w:bidi w:val="0"/>
        <w:spacing w:before="240" w:line="360" w:lineRule="auto"/>
        <w:ind w:firstLine="720"/>
        <w:jc w:val="both"/>
        <w:rPr>
          <w:rFonts w:asciiTheme="majorBidi" w:hAnsiTheme="majorBidi" w:cstheme="majorBidi"/>
          <w:sz w:val="28"/>
          <w:szCs w:val="28"/>
        </w:rPr>
      </w:pPr>
    </w:p>
    <w:p w:rsidR="001E4A46" w:rsidRDefault="001E4A46" w:rsidP="001E4A46">
      <w:pPr>
        <w:bidi w:val="0"/>
        <w:spacing w:before="240" w:line="360" w:lineRule="auto"/>
        <w:ind w:firstLine="720"/>
        <w:jc w:val="both"/>
        <w:rPr>
          <w:rFonts w:asciiTheme="majorBidi" w:hAnsiTheme="majorBidi" w:cstheme="majorBidi"/>
          <w:sz w:val="28"/>
          <w:szCs w:val="28"/>
        </w:rPr>
      </w:pPr>
    </w:p>
    <w:p w:rsidR="001E4A46" w:rsidRDefault="001E4A46" w:rsidP="001E4A46">
      <w:pPr>
        <w:bidi w:val="0"/>
        <w:spacing w:before="240" w:line="360" w:lineRule="auto"/>
        <w:ind w:firstLine="720"/>
        <w:jc w:val="both"/>
        <w:rPr>
          <w:rFonts w:asciiTheme="majorBidi" w:hAnsiTheme="majorBidi" w:cstheme="majorBidi"/>
          <w:sz w:val="28"/>
          <w:szCs w:val="28"/>
        </w:rPr>
      </w:pPr>
    </w:p>
    <w:p w:rsidR="001E4A46" w:rsidRDefault="001E4A46" w:rsidP="001E4A46">
      <w:pPr>
        <w:bidi w:val="0"/>
        <w:spacing w:before="240" w:line="360" w:lineRule="auto"/>
        <w:ind w:firstLine="720"/>
        <w:jc w:val="both"/>
        <w:rPr>
          <w:rFonts w:asciiTheme="majorBidi" w:hAnsiTheme="majorBidi" w:cstheme="majorBidi"/>
          <w:sz w:val="28"/>
          <w:szCs w:val="28"/>
        </w:rPr>
      </w:pPr>
    </w:p>
    <w:p w:rsidR="001E4A46" w:rsidRDefault="001E4A46" w:rsidP="001E4A46">
      <w:pPr>
        <w:bidi w:val="0"/>
        <w:spacing w:before="240" w:line="360" w:lineRule="auto"/>
        <w:ind w:firstLine="720"/>
        <w:jc w:val="both"/>
        <w:rPr>
          <w:rFonts w:asciiTheme="majorBidi" w:hAnsiTheme="majorBidi" w:cstheme="majorBidi"/>
          <w:sz w:val="28"/>
          <w:szCs w:val="28"/>
        </w:rPr>
      </w:pPr>
    </w:p>
    <w:p w:rsidR="00161ABC" w:rsidRDefault="00161ABC" w:rsidP="001E4A46">
      <w:pPr>
        <w:bidi w:val="0"/>
        <w:spacing w:before="240" w:line="360" w:lineRule="auto"/>
        <w:ind w:firstLine="720"/>
        <w:jc w:val="both"/>
        <w:rPr>
          <w:rFonts w:asciiTheme="majorBidi" w:hAnsiTheme="majorBidi" w:cstheme="majorBidi"/>
          <w:sz w:val="28"/>
          <w:szCs w:val="28"/>
        </w:rPr>
        <w:sectPr w:rsidR="00161ABC">
          <w:headerReference w:type="default" r:id="rId30"/>
          <w:pgSz w:w="12240" w:h="15840"/>
          <w:pgMar w:top="1440" w:right="1440" w:bottom="1440" w:left="1440" w:header="720" w:footer="720" w:gutter="0"/>
          <w:cols w:space="720"/>
          <w:docGrid w:linePitch="360"/>
        </w:sectPr>
      </w:pPr>
    </w:p>
    <w:p w:rsidR="001E4A46" w:rsidRPr="00161ABC" w:rsidRDefault="001E4A46" w:rsidP="006D6E28">
      <w:pPr>
        <w:bidi w:val="0"/>
        <w:jc w:val="center"/>
        <w:rPr>
          <w:rFonts w:asciiTheme="majorBidi" w:hAnsiTheme="majorBidi" w:cstheme="majorBidi"/>
          <w:b/>
          <w:bCs/>
          <w:sz w:val="32"/>
          <w:szCs w:val="32"/>
        </w:rPr>
      </w:pPr>
      <w:r w:rsidRPr="00161ABC">
        <w:rPr>
          <w:rFonts w:asciiTheme="majorBidi" w:hAnsiTheme="majorBidi" w:cstheme="majorBidi"/>
          <w:b/>
          <w:bCs/>
          <w:sz w:val="44"/>
          <w:szCs w:val="44"/>
        </w:rPr>
        <w:lastRenderedPageBreak/>
        <w:t>Results</w:t>
      </w:r>
    </w:p>
    <w:p w:rsidR="001E4A46" w:rsidRPr="00161ABC" w:rsidRDefault="001E4A46" w:rsidP="00161ABC">
      <w:pPr>
        <w:bidi w:val="0"/>
        <w:spacing w:line="360" w:lineRule="auto"/>
        <w:jc w:val="both"/>
        <w:rPr>
          <w:rFonts w:asciiTheme="majorBidi" w:hAnsiTheme="majorBidi" w:cstheme="majorBidi"/>
          <w:sz w:val="28"/>
          <w:szCs w:val="28"/>
        </w:rPr>
      </w:pPr>
    </w:p>
    <w:p w:rsidR="00794709" w:rsidRPr="00794709" w:rsidRDefault="00794709" w:rsidP="00794709">
      <w:pPr>
        <w:pStyle w:val="BodyText"/>
        <w:spacing w:before="87" w:line="340" w:lineRule="auto"/>
        <w:ind w:right="26" w:firstLine="540"/>
        <w:jc w:val="both"/>
        <w:rPr>
          <w:color w:val="221F1F"/>
        </w:rPr>
      </w:pPr>
      <w:r w:rsidRPr="00794709">
        <w:rPr>
          <w:color w:val="221F1F"/>
        </w:rPr>
        <w:t xml:space="preserve">The review directed at </w:t>
      </w:r>
      <w:proofErr w:type="spellStart"/>
      <w:r w:rsidRPr="00794709">
        <w:rPr>
          <w:color w:val="221F1F"/>
        </w:rPr>
        <w:t>Qena</w:t>
      </w:r>
      <w:proofErr w:type="spellEnd"/>
      <w:r w:rsidRPr="00794709">
        <w:rPr>
          <w:color w:val="221F1F"/>
        </w:rPr>
        <w:t xml:space="preserve"> College Medical clinic, Egypt, from January 2020 to December 2021, intended to reflectively dissect pediatric harming cases confessed to the clinic. The review included 100 patients who met the incorporation models for harming in view of history, clinical assessment, and research facility examinations (Table: Study Setting). Patients with gastrointestinal and neurological issues, ongoing kidney illnesses, and heart issues were avoided from the review (Table: Review Subjects).</w:t>
      </w:r>
    </w:p>
    <w:p w:rsidR="00794709" w:rsidRPr="00794709" w:rsidRDefault="00794709" w:rsidP="00794709">
      <w:pPr>
        <w:pStyle w:val="BodyText"/>
        <w:spacing w:before="87" w:line="340" w:lineRule="auto"/>
        <w:ind w:right="26" w:firstLine="540"/>
        <w:jc w:val="both"/>
        <w:rPr>
          <w:color w:val="221F1F"/>
        </w:rPr>
      </w:pPr>
      <w:r w:rsidRPr="00794709">
        <w:rPr>
          <w:color w:val="221F1F"/>
        </w:rPr>
        <w:t>The segment information uncovered that the mean age of the patients was 3.78 years, with newborn children (39%) being the biggest age bunch (Table: Segment Information). Most of patients were females (67%) and lived in metropolitan regions (59%) (Table: Segment Information).</w:t>
      </w:r>
    </w:p>
    <w:p w:rsidR="00794709" w:rsidRPr="00794709" w:rsidRDefault="00794709" w:rsidP="00794709">
      <w:pPr>
        <w:pStyle w:val="BodyText"/>
        <w:spacing w:before="87" w:line="340" w:lineRule="auto"/>
        <w:ind w:right="26" w:firstLine="540"/>
        <w:jc w:val="both"/>
        <w:rPr>
          <w:color w:val="221F1F"/>
        </w:rPr>
      </w:pPr>
      <w:r w:rsidRPr="00794709">
        <w:rPr>
          <w:color w:val="221F1F"/>
        </w:rPr>
        <w:t>The kinds of toxins were ordered into prescriptions/drugs (28%), harmful/noxious substances (27%), and compound substances (45%) (Table: Sort of Toxin and Portion).</w:t>
      </w:r>
    </w:p>
    <w:p w:rsidR="00794709" w:rsidRPr="00794709" w:rsidRDefault="00794709" w:rsidP="00794709">
      <w:pPr>
        <w:pStyle w:val="BodyText"/>
        <w:spacing w:before="87" w:line="340" w:lineRule="auto"/>
        <w:ind w:right="26" w:firstLine="540"/>
        <w:jc w:val="both"/>
        <w:rPr>
          <w:color w:val="221F1F"/>
        </w:rPr>
      </w:pPr>
      <w:r w:rsidRPr="00794709">
        <w:rPr>
          <w:color w:val="221F1F"/>
        </w:rPr>
        <w:t>The most widely recognized introductions in different body frameworks included hypotension, respiratory misery, and spewing (Table: Show). The administration of harming cases included ABC treatment, sterilization through gastric wash, and the organization of different cures, anti-infection agents, and other indicative medicines in view of the particular toxin type (Table: The board).</w:t>
      </w:r>
    </w:p>
    <w:p w:rsidR="00794709" w:rsidRPr="00794709" w:rsidRDefault="00794709" w:rsidP="00794709">
      <w:pPr>
        <w:pStyle w:val="BodyText"/>
        <w:spacing w:before="87" w:line="340" w:lineRule="auto"/>
        <w:ind w:right="26" w:firstLine="540"/>
        <w:jc w:val="both"/>
        <w:rPr>
          <w:color w:val="221F1F"/>
        </w:rPr>
      </w:pPr>
      <w:r w:rsidRPr="00794709">
        <w:rPr>
          <w:color w:val="221F1F"/>
        </w:rPr>
        <w:t>Research center discoveries showed that the patients by and large had ordinary qualities for essential signs, blood boundaries, ABG, kidney and liver capability, and electrolyte estimations (Table: CBC, Table: ABG, Table: Kidney and Liver Capability, Table: Electrolyte Estimations).</w:t>
      </w:r>
    </w:p>
    <w:p w:rsidR="00794709" w:rsidRPr="00794709" w:rsidRDefault="00794709" w:rsidP="00794709">
      <w:pPr>
        <w:pStyle w:val="BodyText"/>
        <w:spacing w:before="87" w:line="340" w:lineRule="auto"/>
        <w:ind w:right="26" w:firstLine="540"/>
        <w:jc w:val="both"/>
        <w:rPr>
          <w:color w:val="221F1F"/>
        </w:rPr>
      </w:pPr>
      <w:r w:rsidRPr="00794709">
        <w:rPr>
          <w:color w:val="221F1F"/>
        </w:rPr>
        <w:t xml:space="preserve">Around 44% of the patients required ICU affirmation, and the typical ICU </w:t>
      </w:r>
      <w:r w:rsidRPr="00794709">
        <w:rPr>
          <w:color w:val="221F1F"/>
        </w:rPr>
        <w:lastRenderedPageBreak/>
        <w:t>stay was 2.14 days (Table: Destiny and Result Information). The typical time till release was 2.63 days, with striking varieties saw among individual cases (Table: Destiny and Result Information).</w:t>
      </w:r>
    </w:p>
    <w:p w:rsidR="00161ABC" w:rsidRPr="00161ABC" w:rsidRDefault="00794709" w:rsidP="00794709">
      <w:pPr>
        <w:pStyle w:val="BodyText"/>
        <w:spacing w:before="87" w:line="340" w:lineRule="auto"/>
        <w:ind w:right="26" w:firstLine="540"/>
        <w:jc w:val="both"/>
        <w:rPr>
          <w:rFonts w:asciiTheme="majorBidi" w:hAnsiTheme="majorBidi" w:cstheme="majorBidi"/>
        </w:rPr>
      </w:pPr>
      <w:r w:rsidRPr="00794709">
        <w:rPr>
          <w:color w:val="221F1F"/>
        </w:rPr>
        <w:t xml:space="preserve">The concentrate likewise investigated the relationships </w:t>
      </w:r>
      <w:proofErr w:type="spellStart"/>
      <w:r w:rsidRPr="00794709">
        <w:rPr>
          <w:color w:val="221F1F"/>
        </w:rPr>
        <w:t>between's</w:t>
      </w:r>
      <w:proofErr w:type="spellEnd"/>
      <w:r w:rsidRPr="00794709">
        <w:rPr>
          <w:color w:val="221F1F"/>
        </w:rPr>
        <w:t xml:space="preserve"> various factors, like age, sex, important bodily functions, blood boundaries, and the sort of toxin with ICU confirmation and time till release (Table: Connection).</w:t>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1</w:t>
      </w:r>
      <w:r w:rsidRPr="00161ABC">
        <w:rPr>
          <w:rFonts w:asciiTheme="majorBidi" w:hAnsiTheme="majorBidi" w:cstheme="majorBidi"/>
          <w:sz w:val="28"/>
          <w:szCs w:val="28"/>
        </w:rPr>
        <w:t>): Demographic data of included subjects</w:t>
      </w:r>
    </w:p>
    <w:tbl>
      <w:tblPr>
        <w:tblStyle w:val="GridTable4-Accent11"/>
        <w:tblW w:w="5000" w:type="pct"/>
        <w:jc w:val="center"/>
        <w:tblLook w:val="04A0" w:firstRow="1" w:lastRow="0" w:firstColumn="1" w:lastColumn="0" w:noHBand="0" w:noVBand="1"/>
      </w:tblPr>
      <w:tblGrid>
        <w:gridCol w:w="5516"/>
        <w:gridCol w:w="2183"/>
        <w:gridCol w:w="1877"/>
      </w:tblGrid>
      <w:tr w:rsidR="00161ABC" w:rsidRPr="00161ABC" w:rsidTr="00161AB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bidi w:val="0"/>
              <w:spacing w:after="0" w:line="240" w:lineRule="auto"/>
              <w:jc w:val="both"/>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Parameter</w:t>
            </w:r>
          </w:p>
        </w:tc>
        <w:tc>
          <w:tcPr>
            <w:tcW w:w="2120" w:type="pct"/>
            <w:gridSpan w:val="2"/>
            <w:noWrap/>
            <w:hideMark/>
          </w:tcPr>
          <w:p w:rsidR="00161ABC" w:rsidRPr="00161ABC" w:rsidRDefault="00161ABC" w:rsidP="00161ABC">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Value ( N = 100)</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Age (Years), Mean ± SD</w:t>
            </w:r>
          </w:p>
        </w:tc>
        <w:tc>
          <w:tcPr>
            <w:tcW w:w="2120" w:type="pct"/>
            <w:gridSpan w:val="2"/>
            <w:noWrap/>
            <w:hideMark/>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3.78 ± 4.49</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Age category</w:t>
            </w:r>
          </w:p>
        </w:tc>
        <w:tc>
          <w:tcPr>
            <w:tcW w:w="1140" w:type="pct"/>
            <w:noWrap/>
            <w:hideMark/>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Number</w:t>
            </w:r>
          </w:p>
        </w:tc>
        <w:tc>
          <w:tcPr>
            <w:tcW w:w="980"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Percentage</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pStyle w:val="ListParagraph"/>
              <w:numPr>
                <w:ilvl w:val="0"/>
                <w:numId w:val="34"/>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Infant (&lt;1yr)</w:t>
            </w:r>
          </w:p>
        </w:tc>
        <w:tc>
          <w:tcPr>
            <w:tcW w:w="1140" w:type="pct"/>
            <w:noWrap/>
            <w:hideMark/>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39</w:t>
            </w:r>
          </w:p>
        </w:tc>
        <w:tc>
          <w:tcPr>
            <w:tcW w:w="980"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39</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pStyle w:val="ListParagraph"/>
              <w:numPr>
                <w:ilvl w:val="0"/>
                <w:numId w:val="34"/>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Toddler(1-3 years)</w:t>
            </w:r>
          </w:p>
        </w:tc>
        <w:tc>
          <w:tcPr>
            <w:tcW w:w="1140" w:type="pct"/>
            <w:noWrap/>
            <w:hideMark/>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32</w:t>
            </w:r>
          </w:p>
        </w:tc>
        <w:tc>
          <w:tcPr>
            <w:tcW w:w="980"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32</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pStyle w:val="ListParagraph"/>
              <w:numPr>
                <w:ilvl w:val="0"/>
                <w:numId w:val="34"/>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Preschoolers (3-5 years)</w:t>
            </w:r>
          </w:p>
        </w:tc>
        <w:tc>
          <w:tcPr>
            <w:tcW w:w="1140" w:type="pct"/>
            <w:noWrap/>
            <w:hideMark/>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12</w:t>
            </w:r>
          </w:p>
        </w:tc>
        <w:tc>
          <w:tcPr>
            <w:tcW w:w="980"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12</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pStyle w:val="ListParagraph"/>
              <w:numPr>
                <w:ilvl w:val="0"/>
                <w:numId w:val="34"/>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School-age children (6-12 years)</w:t>
            </w:r>
          </w:p>
        </w:tc>
        <w:tc>
          <w:tcPr>
            <w:tcW w:w="1140" w:type="pct"/>
            <w:noWrap/>
            <w:hideMark/>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7</w:t>
            </w:r>
          </w:p>
        </w:tc>
        <w:tc>
          <w:tcPr>
            <w:tcW w:w="980"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7</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pStyle w:val="ListParagraph"/>
              <w:numPr>
                <w:ilvl w:val="0"/>
                <w:numId w:val="34"/>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Adolescents (12+ years)</w:t>
            </w:r>
          </w:p>
        </w:tc>
        <w:tc>
          <w:tcPr>
            <w:tcW w:w="1140" w:type="pct"/>
            <w:noWrap/>
            <w:hideMark/>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10</w:t>
            </w:r>
          </w:p>
        </w:tc>
        <w:tc>
          <w:tcPr>
            <w:tcW w:w="980"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10</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Sex</w:t>
            </w:r>
          </w:p>
        </w:tc>
        <w:tc>
          <w:tcPr>
            <w:tcW w:w="1140" w:type="pct"/>
            <w:noWrap/>
            <w:hideMark/>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 xml:space="preserve"> </w:t>
            </w:r>
          </w:p>
        </w:tc>
        <w:tc>
          <w:tcPr>
            <w:tcW w:w="980"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pStyle w:val="ListParagraph"/>
              <w:numPr>
                <w:ilvl w:val="0"/>
                <w:numId w:val="34"/>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Male</w:t>
            </w:r>
          </w:p>
        </w:tc>
        <w:tc>
          <w:tcPr>
            <w:tcW w:w="1140" w:type="pct"/>
            <w:noWrap/>
            <w:hideMark/>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33</w:t>
            </w:r>
          </w:p>
        </w:tc>
        <w:tc>
          <w:tcPr>
            <w:tcW w:w="980"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33</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pStyle w:val="ListParagraph"/>
              <w:numPr>
                <w:ilvl w:val="0"/>
                <w:numId w:val="34"/>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Female</w:t>
            </w:r>
          </w:p>
        </w:tc>
        <w:tc>
          <w:tcPr>
            <w:tcW w:w="1140" w:type="pct"/>
            <w:noWrap/>
            <w:hideMark/>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67</w:t>
            </w:r>
          </w:p>
        </w:tc>
        <w:tc>
          <w:tcPr>
            <w:tcW w:w="980"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67</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Weight (Kg), Mean ± SD</w:t>
            </w:r>
          </w:p>
        </w:tc>
        <w:tc>
          <w:tcPr>
            <w:tcW w:w="2120" w:type="pct"/>
            <w:gridSpan w:val="2"/>
            <w:noWrap/>
            <w:hideMark/>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15.78 ± 7.24</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bidi w:val="0"/>
              <w:spacing w:after="0" w:line="240" w:lineRule="auto"/>
              <w:ind w:left="1513"/>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Median (Range)</w:t>
            </w:r>
          </w:p>
        </w:tc>
        <w:tc>
          <w:tcPr>
            <w:tcW w:w="2120" w:type="pct"/>
            <w:gridSpan w:val="2"/>
            <w:noWrap/>
            <w:hideMark/>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15.25 (6.9-33.3)</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Residence</w:t>
            </w:r>
          </w:p>
        </w:tc>
        <w:tc>
          <w:tcPr>
            <w:tcW w:w="1140" w:type="pct"/>
            <w:noWrap/>
            <w:hideMark/>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Number</w:t>
            </w:r>
          </w:p>
        </w:tc>
        <w:tc>
          <w:tcPr>
            <w:tcW w:w="980"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Percentage</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Urban</w:t>
            </w:r>
          </w:p>
        </w:tc>
        <w:tc>
          <w:tcPr>
            <w:tcW w:w="1140" w:type="pct"/>
            <w:noWrap/>
            <w:hideMark/>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59</w:t>
            </w:r>
          </w:p>
        </w:tc>
        <w:tc>
          <w:tcPr>
            <w:tcW w:w="980"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59</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80" w:type="pct"/>
            <w:noWrap/>
            <w:hideMark/>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Rural</w:t>
            </w:r>
          </w:p>
        </w:tc>
        <w:tc>
          <w:tcPr>
            <w:tcW w:w="1140" w:type="pct"/>
            <w:noWrap/>
            <w:hideMark/>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41</w:t>
            </w:r>
          </w:p>
        </w:tc>
        <w:tc>
          <w:tcPr>
            <w:tcW w:w="980"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hAnsiTheme="majorBidi" w:cstheme="majorBidi"/>
                <w:sz w:val="28"/>
                <w:szCs w:val="28"/>
              </w:rPr>
              <w:t>41</w:t>
            </w:r>
          </w:p>
        </w:tc>
      </w:tr>
    </w:tbl>
    <w:p w:rsidR="00161ABC" w:rsidRDefault="00161ABC" w:rsidP="00161ABC">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1</w:t>
      </w:r>
      <w:r w:rsidRPr="00161ABC">
        <w:rPr>
          <w:rFonts w:asciiTheme="majorBidi" w:hAnsiTheme="majorBidi" w:cstheme="majorBidi"/>
          <w:sz w:val="28"/>
          <w:szCs w:val="28"/>
        </w:rPr>
        <w:t>) showed that: The mean age of the patients was 3.78 years. Infants accounted for 39% of the sample, followed by toddlers (32%), preschoolers (12%), school-age children (7%), and adolescents (10%). Regarding Gender distribution, 67% of the patients were female, while males represented 33% of the sample. The mean weight was 15.78 kg, with a range of 6.9 kg to 33.3 kg. The majority of the patients resided in urban areas (59%), while 41% lived in rural areas.</w:t>
      </w:r>
    </w:p>
    <w:p w:rsidR="00161ABC" w:rsidRPr="00161ABC" w:rsidRDefault="00161ABC" w:rsidP="00161ABC">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noProof/>
          <w:sz w:val="28"/>
          <w:szCs w:val="28"/>
        </w:rPr>
        <w:drawing>
          <wp:inline distT="0" distB="0" distL="0" distR="0" wp14:anchorId="389CDC7D" wp14:editId="74C374E2">
            <wp:extent cx="5486400" cy="3200400"/>
            <wp:effectExtent l="0" t="0" r="0" b="0"/>
            <wp:docPr id="1040741077" name="Chart 1040741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1ABC" w:rsidRPr="00161ABC" w:rsidRDefault="00161ABC" w:rsidP="00161ABC">
      <w:pPr>
        <w:bidi w:val="0"/>
        <w:spacing w:line="360" w:lineRule="auto"/>
        <w:jc w:val="both"/>
        <w:rPr>
          <w:rFonts w:asciiTheme="majorBidi" w:eastAsia="Times New Roman" w:hAnsiTheme="majorBidi" w:cstheme="majorBidi"/>
          <w:sz w:val="28"/>
          <w:szCs w:val="28"/>
        </w:rPr>
      </w:pPr>
      <w:r w:rsidRPr="00161ABC">
        <w:rPr>
          <w:rFonts w:asciiTheme="majorBidi" w:hAnsiTheme="majorBidi" w:cstheme="majorBidi"/>
          <w:sz w:val="28"/>
          <w:szCs w:val="28"/>
        </w:rPr>
        <w:t>Figure (</w:t>
      </w:r>
      <w:r>
        <w:rPr>
          <w:rFonts w:asciiTheme="majorBidi" w:hAnsiTheme="majorBidi" w:cstheme="majorBidi"/>
          <w:sz w:val="28"/>
          <w:szCs w:val="28"/>
        </w:rPr>
        <w:t>1</w:t>
      </w:r>
      <w:r w:rsidRPr="00161ABC">
        <w:rPr>
          <w:rFonts w:asciiTheme="majorBidi" w:hAnsiTheme="majorBidi" w:cstheme="majorBidi"/>
          <w:sz w:val="28"/>
          <w:szCs w:val="28"/>
        </w:rPr>
        <w:t xml:space="preserve">): </w:t>
      </w:r>
      <w:r w:rsidRPr="00161ABC">
        <w:rPr>
          <w:rFonts w:asciiTheme="majorBidi" w:eastAsia="Times New Roman" w:hAnsiTheme="majorBidi" w:cstheme="majorBidi"/>
          <w:sz w:val="28"/>
          <w:szCs w:val="28"/>
        </w:rPr>
        <w:t>Age category distribution among included subjects</w:t>
      </w:r>
    </w:p>
    <w:p w:rsidR="00161ABC" w:rsidRPr="00161ABC" w:rsidRDefault="00161ABC" w:rsidP="00161ABC">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noProof/>
          <w:sz w:val="28"/>
          <w:szCs w:val="28"/>
        </w:rPr>
        <w:drawing>
          <wp:inline distT="0" distB="0" distL="0" distR="0" wp14:anchorId="0967FB44" wp14:editId="751F083D">
            <wp:extent cx="5486400" cy="3200400"/>
            <wp:effectExtent l="0" t="0" r="0" b="0"/>
            <wp:docPr id="1915304958" name="Chart 1915304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61ABC" w:rsidRPr="00161ABC" w:rsidRDefault="00161ABC" w:rsidP="00161ABC">
      <w:pPr>
        <w:bidi w:val="0"/>
        <w:spacing w:line="360" w:lineRule="auto"/>
        <w:jc w:val="both"/>
        <w:rPr>
          <w:rFonts w:asciiTheme="majorBidi" w:eastAsia="Times New Roman" w:hAnsiTheme="majorBidi" w:cstheme="majorBidi"/>
          <w:sz w:val="28"/>
          <w:szCs w:val="28"/>
        </w:rPr>
      </w:pPr>
      <w:r w:rsidRPr="00161ABC">
        <w:rPr>
          <w:rFonts w:asciiTheme="majorBidi" w:hAnsiTheme="majorBidi" w:cstheme="majorBidi"/>
          <w:sz w:val="28"/>
          <w:szCs w:val="28"/>
        </w:rPr>
        <w:lastRenderedPageBreak/>
        <w:t>Figure (</w:t>
      </w:r>
      <w:r>
        <w:rPr>
          <w:rFonts w:asciiTheme="majorBidi" w:hAnsiTheme="majorBidi" w:cstheme="majorBidi"/>
          <w:sz w:val="28"/>
          <w:szCs w:val="28"/>
        </w:rPr>
        <w:t>2</w:t>
      </w:r>
      <w:r w:rsidRPr="00161ABC">
        <w:rPr>
          <w:rFonts w:asciiTheme="majorBidi" w:hAnsiTheme="majorBidi" w:cstheme="majorBidi"/>
          <w:sz w:val="28"/>
          <w:szCs w:val="28"/>
        </w:rPr>
        <w:t xml:space="preserve">): </w:t>
      </w:r>
      <w:r w:rsidRPr="00161ABC">
        <w:rPr>
          <w:rFonts w:asciiTheme="majorBidi" w:eastAsia="Times New Roman" w:hAnsiTheme="majorBidi" w:cstheme="majorBidi"/>
          <w:sz w:val="28"/>
          <w:szCs w:val="28"/>
        </w:rPr>
        <w:t>Sex distribution among included subjects</w:t>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2</w:t>
      </w:r>
      <w:r w:rsidRPr="00161ABC">
        <w:rPr>
          <w:rFonts w:asciiTheme="majorBidi" w:hAnsiTheme="majorBidi" w:cstheme="majorBidi"/>
          <w:sz w:val="28"/>
          <w:szCs w:val="28"/>
        </w:rPr>
        <w:t>): Delay among included subjects</w:t>
      </w:r>
    </w:p>
    <w:tbl>
      <w:tblPr>
        <w:tblStyle w:val="GridTable4-Accent11"/>
        <w:tblW w:w="3799" w:type="pct"/>
        <w:jc w:val="center"/>
        <w:tblLook w:val="04A0" w:firstRow="1" w:lastRow="0" w:firstColumn="1" w:lastColumn="0" w:noHBand="0" w:noVBand="1"/>
      </w:tblPr>
      <w:tblGrid>
        <w:gridCol w:w="3514"/>
        <w:gridCol w:w="2068"/>
        <w:gridCol w:w="1694"/>
      </w:tblGrid>
      <w:tr w:rsidR="00161ABC" w:rsidRPr="00161ABC" w:rsidTr="00161AB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52" w:type="pct"/>
            <w:noWrap/>
            <w:hideMark/>
          </w:tcPr>
          <w:p w:rsidR="00161ABC" w:rsidRPr="00161ABC" w:rsidRDefault="00161ABC" w:rsidP="00161ABC">
            <w:pPr>
              <w:bidi w:val="0"/>
              <w:spacing w:line="360" w:lineRule="auto"/>
              <w:jc w:val="both"/>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Parameter</w:t>
            </w:r>
          </w:p>
        </w:tc>
        <w:tc>
          <w:tcPr>
            <w:tcW w:w="2648" w:type="pct"/>
            <w:gridSpan w:val="2"/>
            <w:noWrap/>
            <w:hideMark/>
          </w:tcPr>
          <w:p w:rsidR="00161ABC" w:rsidRPr="00161ABC" w:rsidRDefault="00161ABC" w:rsidP="00161ABC">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Value ( N = 100)</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52" w:type="pct"/>
            <w:noWrap/>
          </w:tcPr>
          <w:p w:rsidR="00161ABC" w:rsidRPr="00161ABC" w:rsidRDefault="00161ABC" w:rsidP="00161ABC">
            <w:pPr>
              <w:bidi w:val="0"/>
              <w:spacing w:line="36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Delay (</w:t>
            </w:r>
            <w:proofErr w:type="spellStart"/>
            <w:r w:rsidRPr="00161ABC">
              <w:rPr>
                <w:rFonts w:asciiTheme="majorBidi" w:eastAsia="Times New Roman" w:hAnsiTheme="majorBidi" w:cstheme="majorBidi"/>
                <w:sz w:val="28"/>
                <w:szCs w:val="28"/>
              </w:rPr>
              <w:t>hr</w:t>
            </w:r>
            <w:proofErr w:type="spellEnd"/>
            <w:r w:rsidRPr="00161ABC">
              <w:rPr>
                <w:rFonts w:asciiTheme="majorBidi" w:eastAsia="Times New Roman" w:hAnsiTheme="majorBidi" w:cstheme="majorBidi"/>
                <w:sz w:val="28"/>
                <w:szCs w:val="28"/>
              </w:rPr>
              <w:t>), Median (Range)</w:t>
            </w:r>
          </w:p>
        </w:tc>
        <w:tc>
          <w:tcPr>
            <w:tcW w:w="2648" w:type="pct"/>
            <w:gridSpan w:val="2"/>
            <w:noWrap/>
          </w:tcPr>
          <w:p w:rsidR="00161ABC" w:rsidRPr="00161ABC" w:rsidRDefault="00161ABC" w:rsidP="00161A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 (0.5-3)</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352" w:type="pct"/>
            <w:noWrap/>
          </w:tcPr>
          <w:p w:rsidR="00161ABC" w:rsidRPr="00161ABC" w:rsidRDefault="00161ABC" w:rsidP="00161ABC">
            <w:pPr>
              <w:bidi w:val="0"/>
              <w:spacing w:line="360" w:lineRule="auto"/>
              <w:jc w:val="both"/>
              <w:rPr>
                <w:rFonts w:asciiTheme="majorBidi" w:eastAsia="Times New Roman" w:hAnsiTheme="majorBidi" w:cstheme="majorBidi"/>
                <w:sz w:val="28"/>
                <w:szCs w:val="28"/>
              </w:rPr>
            </w:pPr>
          </w:p>
        </w:tc>
        <w:tc>
          <w:tcPr>
            <w:tcW w:w="1453" w:type="pct"/>
            <w:noWrap/>
          </w:tcPr>
          <w:p w:rsidR="00161ABC" w:rsidRPr="00161ABC" w:rsidRDefault="00161ABC" w:rsidP="00161A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Number</w:t>
            </w:r>
          </w:p>
        </w:tc>
        <w:tc>
          <w:tcPr>
            <w:tcW w:w="1194" w:type="pct"/>
          </w:tcPr>
          <w:p w:rsidR="00161ABC" w:rsidRPr="00161ABC" w:rsidRDefault="00161ABC" w:rsidP="00161A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Percentage</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52" w:type="pct"/>
            <w:noWrap/>
          </w:tcPr>
          <w:p w:rsidR="00161ABC" w:rsidRPr="00161ABC" w:rsidRDefault="00161ABC" w:rsidP="00161ABC">
            <w:pPr>
              <w:pStyle w:val="ListParagraph"/>
              <w:numPr>
                <w:ilvl w:val="0"/>
                <w:numId w:val="22"/>
              </w:numPr>
              <w:spacing w:after="0" w:line="36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0.5</w:t>
            </w:r>
          </w:p>
        </w:tc>
        <w:tc>
          <w:tcPr>
            <w:tcW w:w="1453" w:type="pct"/>
            <w:noWrap/>
          </w:tcPr>
          <w:p w:rsidR="00161ABC" w:rsidRPr="00161ABC" w:rsidRDefault="00161ABC" w:rsidP="00161A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1194" w:type="pct"/>
          </w:tcPr>
          <w:p w:rsidR="00161ABC" w:rsidRPr="00161ABC" w:rsidRDefault="00161ABC" w:rsidP="00161A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352" w:type="pct"/>
            <w:noWrap/>
          </w:tcPr>
          <w:p w:rsidR="00161ABC" w:rsidRPr="00161ABC" w:rsidRDefault="00161ABC" w:rsidP="00161ABC">
            <w:pPr>
              <w:pStyle w:val="ListParagraph"/>
              <w:numPr>
                <w:ilvl w:val="0"/>
                <w:numId w:val="22"/>
              </w:numPr>
              <w:spacing w:after="0" w:line="36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w:t>
            </w:r>
          </w:p>
        </w:tc>
        <w:tc>
          <w:tcPr>
            <w:tcW w:w="1453" w:type="pct"/>
            <w:noWrap/>
          </w:tcPr>
          <w:p w:rsidR="00161ABC" w:rsidRPr="00161ABC" w:rsidRDefault="00161ABC" w:rsidP="00161A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56</w:t>
            </w:r>
          </w:p>
        </w:tc>
        <w:tc>
          <w:tcPr>
            <w:tcW w:w="1194" w:type="pct"/>
          </w:tcPr>
          <w:p w:rsidR="00161ABC" w:rsidRPr="00161ABC" w:rsidRDefault="00161ABC" w:rsidP="00161A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56</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352" w:type="pct"/>
            <w:noWrap/>
          </w:tcPr>
          <w:p w:rsidR="00161ABC" w:rsidRPr="00161ABC" w:rsidRDefault="00161ABC" w:rsidP="00161ABC">
            <w:pPr>
              <w:pStyle w:val="ListParagraph"/>
              <w:numPr>
                <w:ilvl w:val="0"/>
                <w:numId w:val="22"/>
              </w:numPr>
              <w:spacing w:after="0" w:line="36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w:t>
            </w:r>
          </w:p>
        </w:tc>
        <w:tc>
          <w:tcPr>
            <w:tcW w:w="1453" w:type="pct"/>
            <w:noWrap/>
          </w:tcPr>
          <w:p w:rsidR="00161ABC" w:rsidRPr="00161ABC" w:rsidRDefault="00161ABC" w:rsidP="00161A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22</w:t>
            </w:r>
          </w:p>
        </w:tc>
        <w:tc>
          <w:tcPr>
            <w:tcW w:w="1194" w:type="pct"/>
          </w:tcPr>
          <w:p w:rsidR="00161ABC" w:rsidRPr="00161ABC" w:rsidRDefault="00161ABC" w:rsidP="00161ABC">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22</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352" w:type="pct"/>
            <w:noWrap/>
          </w:tcPr>
          <w:p w:rsidR="00161ABC" w:rsidRPr="00161ABC" w:rsidRDefault="00161ABC" w:rsidP="00161ABC">
            <w:pPr>
              <w:pStyle w:val="ListParagraph"/>
              <w:numPr>
                <w:ilvl w:val="0"/>
                <w:numId w:val="22"/>
              </w:numPr>
              <w:spacing w:after="0" w:line="36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w:t>
            </w:r>
          </w:p>
        </w:tc>
        <w:tc>
          <w:tcPr>
            <w:tcW w:w="1453" w:type="pct"/>
            <w:noWrap/>
          </w:tcPr>
          <w:p w:rsidR="00161ABC" w:rsidRPr="00161ABC" w:rsidRDefault="00161ABC" w:rsidP="00161A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16</w:t>
            </w:r>
          </w:p>
        </w:tc>
        <w:tc>
          <w:tcPr>
            <w:tcW w:w="1194" w:type="pct"/>
          </w:tcPr>
          <w:p w:rsidR="00161ABC" w:rsidRPr="00161ABC" w:rsidRDefault="00161ABC" w:rsidP="00161ABC">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16</w:t>
            </w:r>
          </w:p>
        </w:tc>
      </w:tr>
    </w:tbl>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2</w:t>
      </w:r>
      <w:r w:rsidRPr="00161ABC">
        <w:rPr>
          <w:rFonts w:asciiTheme="majorBidi" w:hAnsiTheme="majorBidi" w:cstheme="majorBidi"/>
          <w:sz w:val="28"/>
          <w:szCs w:val="28"/>
        </w:rPr>
        <w:t>) showed that: the delay between poisoning till entering hospital had a median of 1 hour and ranged between 0.5 to 3 hours.</w:t>
      </w:r>
    </w:p>
    <w:p w:rsid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3</w:t>
      </w:r>
      <w:r w:rsidRPr="00161ABC">
        <w:rPr>
          <w:rFonts w:asciiTheme="majorBidi" w:hAnsiTheme="majorBidi" w:cstheme="majorBidi"/>
          <w:sz w:val="28"/>
          <w:szCs w:val="28"/>
        </w:rPr>
        <w:t>): Type of poison and dose among included subjects</w:t>
      </w:r>
    </w:p>
    <w:tbl>
      <w:tblPr>
        <w:tblStyle w:val="GridTable4-Accent11"/>
        <w:tblW w:w="5000" w:type="pct"/>
        <w:jc w:val="center"/>
        <w:tblLook w:val="04A0" w:firstRow="1" w:lastRow="0" w:firstColumn="1" w:lastColumn="0" w:noHBand="0" w:noVBand="1"/>
      </w:tblPr>
      <w:tblGrid>
        <w:gridCol w:w="5514"/>
        <w:gridCol w:w="2183"/>
        <w:gridCol w:w="1879"/>
      </w:tblGrid>
      <w:tr w:rsidR="00161ABC" w:rsidRPr="00161ABC" w:rsidTr="00161AB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vMerge w:val="restart"/>
            <w:noWrap/>
            <w:hideMark/>
          </w:tcPr>
          <w:p w:rsidR="00161ABC" w:rsidRPr="00161ABC" w:rsidRDefault="00161ABC" w:rsidP="00161ABC">
            <w:pPr>
              <w:bidi w:val="0"/>
              <w:spacing w:after="0" w:line="240" w:lineRule="auto"/>
              <w:jc w:val="both"/>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Parameter</w:t>
            </w:r>
          </w:p>
        </w:tc>
        <w:tc>
          <w:tcPr>
            <w:tcW w:w="2121" w:type="pct"/>
            <w:gridSpan w:val="2"/>
            <w:noWrap/>
            <w:hideMark/>
          </w:tcPr>
          <w:p w:rsidR="00161ABC" w:rsidRPr="00161ABC" w:rsidRDefault="00161ABC" w:rsidP="00161ABC">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Value ( N = 100)</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vMerge/>
            <w:noWrap/>
          </w:tcPr>
          <w:p w:rsidR="00161ABC" w:rsidRPr="00161ABC" w:rsidRDefault="00161ABC" w:rsidP="00161ABC">
            <w:pPr>
              <w:bidi w:val="0"/>
              <w:spacing w:after="0" w:line="240" w:lineRule="auto"/>
              <w:jc w:val="both"/>
              <w:rPr>
                <w:rFonts w:asciiTheme="majorBidi" w:eastAsia="Times New Roman" w:hAnsiTheme="majorBidi" w:cstheme="majorBidi"/>
                <w:sz w:val="28"/>
                <w:szCs w:val="28"/>
              </w:rPr>
            </w:pPr>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Number</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Percentage</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Type of poison</w:t>
            </w:r>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Medications/Drugs</w:t>
            </w:r>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33</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33</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Toxic/Poisonous Substances</w:t>
            </w:r>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14</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14</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Chemical Substances</w:t>
            </w:r>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53</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53</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bidi w:val="0"/>
              <w:spacing w:after="0" w:line="240" w:lineRule="auto"/>
              <w:ind w:left="36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Poison</w:t>
            </w:r>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CNS drugs</w:t>
            </w:r>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b/>
                <w:bCs/>
                <w:sz w:val="28"/>
                <w:szCs w:val="28"/>
              </w:rPr>
              <w:t xml:space="preserve"> </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b/>
                <w:bCs/>
                <w:sz w:val="28"/>
                <w:szCs w:val="28"/>
              </w:rPr>
              <w:t> </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ind w:left="1140"/>
              <w:jc w:val="both"/>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Clozapex</w:t>
            </w:r>
            <w:proofErr w:type="spellEnd"/>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ind w:left="1140"/>
              <w:jc w:val="both"/>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Depakine</w:t>
            </w:r>
            <w:proofErr w:type="spellEnd"/>
            <w:r w:rsidRPr="00161ABC">
              <w:rPr>
                <w:rFonts w:asciiTheme="majorBidi" w:eastAsia="Times New Roman" w:hAnsiTheme="majorBidi" w:cstheme="majorBidi"/>
                <w:sz w:val="28"/>
                <w:szCs w:val="28"/>
              </w:rPr>
              <w:t xml:space="preserve"> drug</w:t>
            </w:r>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CVS drugs</w:t>
            </w:r>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ind w:left="1140"/>
              <w:jc w:val="both"/>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Indral</w:t>
            </w:r>
            <w:proofErr w:type="spellEnd"/>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ind w:left="11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Atropine</w:t>
            </w:r>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Corrosive</w:t>
            </w:r>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ind w:left="11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Clorox</w:t>
            </w:r>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ind w:left="11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Phenol</w:t>
            </w:r>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ind w:left="11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Detergent</w:t>
            </w:r>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ind w:left="11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Caustic soda</w:t>
            </w:r>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Pesticides</w:t>
            </w:r>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ind w:left="11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Rodenticide</w:t>
            </w:r>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ind w:left="11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Insecticide</w:t>
            </w:r>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Botulism</w:t>
            </w:r>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PPD</w:t>
            </w:r>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w:t>
            </w:r>
          </w:p>
        </w:tc>
      </w:tr>
      <w:tr w:rsidR="00161ABC" w:rsidRPr="00161ABC" w:rsidTr="00161AB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Addiction (Hashish)</w:t>
            </w:r>
          </w:p>
        </w:tc>
        <w:tc>
          <w:tcPr>
            <w:tcW w:w="1140" w:type="pct"/>
            <w:noWrap/>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8</w:t>
            </w:r>
          </w:p>
        </w:tc>
        <w:tc>
          <w:tcPr>
            <w:tcW w:w="981" w:type="pct"/>
          </w:tcPr>
          <w:p w:rsidR="00161ABC" w:rsidRPr="00161ABC" w:rsidRDefault="00161ABC" w:rsidP="00161ABC">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8%</w:t>
            </w:r>
          </w:p>
        </w:tc>
      </w:tr>
      <w:tr w:rsidR="00161ABC" w:rsidRPr="00161ABC" w:rsidTr="00161ABC">
        <w:trPr>
          <w:trHeight w:val="288"/>
          <w:jc w:val="center"/>
        </w:trPr>
        <w:tc>
          <w:tcPr>
            <w:cnfStyle w:val="001000000000" w:firstRow="0" w:lastRow="0" w:firstColumn="1" w:lastColumn="0" w:oddVBand="0" w:evenVBand="0" w:oddHBand="0" w:evenHBand="0" w:firstRowFirstColumn="0" w:firstRowLastColumn="0" w:lastRowFirstColumn="0" w:lastRowLastColumn="0"/>
            <w:tcW w:w="2879" w:type="pct"/>
            <w:noWrap/>
          </w:tcPr>
          <w:p w:rsidR="00161ABC" w:rsidRPr="00161ABC" w:rsidRDefault="00161ABC" w:rsidP="00161ABC">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Iron supplements</w:t>
            </w:r>
          </w:p>
        </w:tc>
        <w:tc>
          <w:tcPr>
            <w:tcW w:w="1140" w:type="pct"/>
            <w:noWrap/>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981" w:type="pct"/>
          </w:tcPr>
          <w:p w:rsidR="00161ABC" w:rsidRPr="00161ABC" w:rsidRDefault="00161ABC" w:rsidP="00161ABC">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bl>
    <w:p w:rsidR="00161ABC" w:rsidRPr="00161ABC" w:rsidRDefault="00161ABC" w:rsidP="00161ABC">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3</w:t>
      </w:r>
      <w:r w:rsidRPr="00161ABC">
        <w:rPr>
          <w:rFonts w:asciiTheme="majorBidi" w:hAnsiTheme="majorBidi" w:cstheme="majorBidi"/>
          <w:sz w:val="28"/>
          <w:szCs w:val="28"/>
        </w:rPr>
        <w:t xml:space="preserve">) showed that: The distribution of the type of poison indicates that medications/drugs, toxic/poisonous substances, and chemical substances accounted for 33%, 14%, and 53% respectively. Among these cases, 7% were attributed to antipsychotic poisoning, with </w:t>
      </w:r>
      <w:proofErr w:type="spellStart"/>
      <w:r w:rsidRPr="00161ABC">
        <w:rPr>
          <w:rFonts w:asciiTheme="majorBidi" w:hAnsiTheme="majorBidi" w:cstheme="majorBidi"/>
          <w:sz w:val="28"/>
          <w:szCs w:val="28"/>
        </w:rPr>
        <w:t>Clozapex</w:t>
      </w:r>
      <w:proofErr w:type="spellEnd"/>
      <w:r w:rsidRPr="00161ABC">
        <w:rPr>
          <w:rFonts w:asciiTheme="majorBidi" w:hAnsiTheme="majorBidi" w:cstheme="majorBidi"/>
          <w:sz w:val="28"/>
          <w:szCs w:val="28"/>
        </w:rPr>
        <w:t xml:space="preserve"> being the prominent medication involved. </w:t>
      </w:r>
      <w:r w:rsidRPr="00161ABC">
        <w:rPr>
          <w:rFonts w:asciiTheme="majorBidi" w:hAnsiTheme="majorBidi" w:cstheme="majorBidi"/>
          <w:sz w:val="28"/>
          <w:szCs w:val="28"/>
        </w:rPr>
        <w:lastRenderedPageBreak/>
        <w:t xml:space="preserve">Similarly, </w:t>
      </w:r>
      <w:proofErr w:type="spellStart"/>
      <w:r w:rsidRPr="00161ABC">
        <w:rPr>
          <w:rFonts w:asciiTheme="majorBidi" w:hAnsiTheme="majorBidi" w:cstheme="majorBidi"/>
          <w:sz w:val="28"/>
          <w:szCs w:val="28"/>
        </w:rPr>
        <w:t>Depakine</w:t>
      </w:r>
      <w:proofErr w:type="spellEnd"/>
      <w:r w:rsidRPr="00161ABC">
        <w:rPr>
          <w:rFonts w:asciiTheme="majorBidi" w:hAnsiTheme="majorBidi" w:cstheme="majorBidi"/>
          <w:sz w:val="28"/>
          <w:szCs w:val="28"/>
        </w:rPr>
        <w:t xml:space="preserve">, an anticonvulsant and mood-stabilizing drug, accounted for another 7% of poisoning incidents. Poisoning with </w:t>
      </w:r>
      <w:proofErr w:type="spellStart"/>
      <w:r w:rsidRPr="00161ABC">
        <w:rPr>
          <w:rFonts w:asciiTheme="majorBidi" w:hAnsiTheme="majorBidi" w:cstheme="majorBidi"/>
          <w:sz w:val="28"/>
          <w:szCs w:val="28"/>
        </w:rPr>
        <w:t>Indral</w:t>
      </w:r>
      <w:proofErr w:type="spellEnd"/>
      <w:r w:rsidRPr="00161ABC">
        <w:rPr>
          <w:rFonts w:asciiTheme="majorBidi" w:hAnsiTheme="majorBidi" w:cstheme="majorBidi"/>
          <w:sz w:val="28"/>
          <w:szCs w:val="28"/>
        </w:rPr>
        <w:t xml:space="preserve">, an antihypertensive medication, was observed in 6% of cases. Corrosive and caustic substances, such as detergents and caustic soda, affected 7% of individuals, while phenol and </w:t>
      </w:r>
      <w:proofErr w:type="spellStart"/>
      <w:r w:rsidRPr="00161ABC">
        <w:rPr>
          <w:rFonts w:asciiTheme="majorBidi" w:hAnsiTheme="majorBidi" w:cstheme="majorBidi"/>
          <w:sz w:val="28"/>
          <w:szCs w:val="28"/>
        </w:rPr>
        <w:t>Clorex</w:t>
      </w:r>
      <w:proofErr w:type="spellEnd"/>
      <w:r w:rsidRPr="00161ABC">
        <w:rPr>
          <w:rFonts w:asciiTheme="majorBidi" w:hAnsiTheme="majorBidi" w:cstheme="majorBidi"/>
          <w:sz w:val="28"/>
          <w:szCs w:val="28"/>
        </w:rPr>
        <w:t xml:space="preserve"> were responsible for 7% and 5% of cases respectively. Additionally, 8% of individuals experienced poisoning related to hashish, and 3% were affected by botulism. PPD exposure accounted for 3% of poisoning incidents, and 6% of cases were linked to Iron supplements. Rodenticides affected 7% of individuals and 6% exposed to insecticides.</w:t>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noProof/>
          <w:sz w:val="28"/>
          <w:szCs w:val="28"/>
        </w:rPr>
        <w:drawing>
          <wp:inline distT="0" distB="0" distL="0" distR="0" wp14:anchorId="428BF044" wp14:editId="0D8D2DF5">
            <wp:extent cx="5629275" cy="29813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Figure (</w:t>
      </w:r>
      <w:r>
        <w:rPr>
          <w:rFonts w:asciiTheme="majorBidi" w:hAnsiTheme="majorBidi" w:cstheme="majorBidi"/>
          <w:sz w:val="28"/>
          <w:szCs w:val="28"/>
        </w:rPr>
        <w:t>3</w:t>
      </w:r>
      <w:r w:rsidRPr="00161ABC">
        <w:rPr>
          <w:rFonts w:asciiTheme="majorBidi" w:hAnsiTheme="majorBidi" w:cstheme="majorBidi"/>
          <w:sz w:val="28"/>
          <w:szCs w:val="28"/>
        </w:rPr>
        <w:t xml:space="preserve">): </w:t>
      </w:r>
      <w:r w:rsidRPr="00161ABC">
        <w:rPr>
          <w:rFonts w:asciiTheme="majorBidi" w:eastAsia="Times New Roman" w:hAnsiTheme="majorBidi" w:cstheme="majorBidi"/>
          <w:sz w:val="28"/>
          <w:szCs w:val="28"/>
        </w:rPr>
        <w:t>Type of poison distribution among included subjects</w:t>
      </w:r>
    </w:p>
    <w:p w:rsid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4</w:t>
      </w:r>
      <w:r w:rsidRPr="00161ABC">
        <w:rPr>
          <w:rFonts w:asciiTheme="majorBidi" w:hAnsiTheme="majorBidi" w:cstheme="majorBidi"/>
          <w:sz w:val="28"/>
          <w:szCs w:val="28"/>
        </w:rPr>
        <w:t>): Vital signs among included subjects</w:t>
      </w:r>
    </w:p>
    <w:tbl>
      <w:tblPr>
        <w:tblStyle w:val="GridTable4-Accent11"/>
        <w:tblW w:w="5000" w:type="pct"/>
        <w:jc w:val="center"/>
        <w:tblLook w:val="04A0" w:firstRow="1" w:lastRow="0" w:firstColumn="1" w:lastColumn="0" w:noHBand="0" w:noVBand="1"/>
      </w:tblPr>
      <w:tblGrid>
        <w:gridCol w:w="7082"/>
        <w:gridCol w:w="2494"/>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hideMark/>
          </w:tcPr>
          <w:p w:rsidR="00161ABC" w:rsidRPr="00161ABC" w:rsidRDefault="00161ABC" w:rsidP="005B04A4">
            <w:pPr>
              <w:bidi w:val="0"/>
              <w:spacing w:line="360" w:lineRule="auto"/>
              <w:jc w:val="both"/>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Vitals</w:t>
            </w:r>
          </w:p>
        </w:tc>
        <w:tc>
          <w:tcPr>
            <w:tcW w:w="1302" w:type="pct"/>
            <w:noWrap/>
            <w:hideMark/>
          </w:tcPr>
          <w:p w:rsidR="00161ABC" w:rsidRPr="00161ABC" w:rsidRDefault="00161ABC" w:rsidP="005B04A4">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Value ( N = 100)</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line="36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HR (beat/min)</w:t>
            </w:r>
          </w:p>
        </w:tc>
        <w:tc>
          <w:tcPr>
            <w:tcW w:w="1302" w:type="pct"/>
            <w:noWrap/>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93 (58-160)</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line="36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RR (Breath/min)</w:t>
            </w:r>
          </w:p>
        </w:tc>
        <w:tc>
          <w:tcPr>
            <w:tcW w:w="1302" w:type="pct"/>
            <w:noWrap/>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26 (14-46)</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line="36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Blood Pressure</w:t>
            </w:r>
          </w:p>
        </w:tc>
        <w:tc>
          <w:tcPr>
            <w:tcW w:w="1302" w:type="pct"/>
            <w:noWrap/>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line="360" w:lineRule="auto"/>
              <w:ind w:left="51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SBP (mmHg)</w:t>
            </w:r>
          </w:p>
        </w:tc>
        <w:tc>
          <w:tcPr>
            <w:tcW w:w="1302" w:type="pct"/>
            <w:noWrap/>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93 (67-125)</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line="360" w:lineRule="auto"/>
              <w:ind w:left="51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DBP (mmHg)</w:t>
            </w:r>
          </w:p>
        </w:tc>
        <w:tc>
          <w:tcPr>
            <w:tcW w:w="1302" w:type="pct"/>
            <w:noWrap/>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56 (26-76)</w:t>
            </w:r>
          </w:p>
        </w:tc>
      </w:tr>
    </w:tbl>
    <w:p w:rsidR="00161ABC" w:rsidRDefault="00161ABC" w:rsidP="00161ABC">
      <w:pPr>
        <w:bidi w:val="0"/>
        <w:spacing w:line="360" w:lineRule="auto"/>
        <w:jc w:val="both"/>
        <w:rPr>
          <w:rFonts w:asciiTheme="majorBidi" w:hAnsiTheme="majorBidi" w:cstheme="majorBidi"/>
        </w:rPr>
      </w:pPr>
      <w:r w:rsidRPr="005B04A4">
        <w:rPr>
          <w:rFonts w:asciiTheme="majorBidi" w:hAnsiTheme="majorBidi" w:cstheme="majorBidi"/>
        </w:rPr>
        <w:t>Heart Rate (HR), Respiratory Rate (RR), Systolic Blood Pressure (SBP), Diastolic Blood Pressure (DBP)</w:t>
      </w:r>
    </w:p>
    <w:p w:rsidR="005B04A4" w:rsidRPr="005B04A4" w:rsidRDefault="005B04A4" w:rsidP="005B04A4">
      <w:pPr>
        <w:bidi w:val="0"/>
        <w:spacing w:line="360" w:lineRule="auto"/>
        <w:jc w:val="both"/>
        <w:rPr>
          <w:rFonts w:asciiTheme="majorBidi" w:hAnsiTheme="majorBidi" w:cstheme="majorBidi"/>
        </w:rPr>
      </w:pPr>
    </w:p>
    <w:p w:rsidR="00161ABC" w:rsidRPr="00161ABC" w:rsidRDefault="00161ABC" w:rsidP="00161ABC">
      <w:pPr>
        <w:bidi w:val="0"/>
        <w:spacing w:line="360" w:lineRule="auto"/>
        <w:jc w:val="both"/>
        <w:rPr>
          <w:rFonts w:asciiTheme="majorBidi" w:hAnsiTheme="majorBidi" w:cstheme="majorBidi"/>
          <w:noProof/>
          <w:sz w:val="28"/>
          <w:szCs w:val="28"/>
        </w:rPr>
      </w:pPr>
      <w:r w:rsidRPr="00161ABC">
        <w:rPr>
          <w:rFonts w:asciiTheme="majorBidi" w:hAnsiTheme="majorBidi" w:cstheme="majorBidi"/>
          <w:sz w:val="28"/>
          <w:szCs w:val="28"/>
        </w:rPr>
        <w:t>Table (</w:t>
      </w:r>
      <w:r>
        <w:rPr>
          <w:rFonts w:asciiTheme="majorBidi" w:hAnsiTheme="majorBidi" w:cstheme="majorBidi"/>
          <w:sz w:val="28"/>
          <w:szCs w:val="28"/>
        </w:rPr>
        <w:t>4</w:t>
      </w:r>
      <w:r w:rsidRPr="00161ABC">
        <w:rPr>
          <w:rFonts w:asciiTheme="majorBidi" w:hAnsiTheme="majorBidi" w:cstheme="majorBidi"/>
          <w:sz w:val="28"/>
          <w:szCs w:val="28"/>
        </w:rPr>
        <w:t xml:space="preserve">) showed that: </w:t>
      </w:r>
      <w:r w:rsidRPr="00161ABC">
        <w:rPr>
          <w:rFonts w:asciiTheme="majorBidi" w:hAnsiTheme="majorBidi" w:cstheme="majorBidi"/>
          <w:noProof/>
          <w:sz w:val="28"/>
          <w:szCs w:val="28"/>
        </w:rPr>
        <w:t>The heart rate (HR) ranged from 58 to 160 beats per minute, with an average value of 93 beats per minute. The respiratory rate (RR) ranged from 14 to 46 breaths per minute, with an average value of 26 breaths per minute. In terms of blood pressure, the systolic blood pressure (SBP) ranged from 67 to 125 mmHg, with an average value of 93 mmHg. The diastolic blood pressure (DBP) ranged from 26 to 76 mmHg, with an average value of 56 mmHg.</w:t>
      </w:r>
    </w:p>
    <w:p w:rsidR="00161ABC" w:rsidRDefault="00161ABC" w:rsidP="00161ABC">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5</w:t>
      </w:r>
      <w:r w:rsidRPr="00161ABC">
        <w:rPr>
          <w:rFonts w:asciiTheme="majorBidi" w:hAnsiTheme="majorBidi" w:cstheme="majorBidi"/>
          <w:sz w:val="28"/>
          <w:szCs w:val="28"/>
        </w:rPr>
        <w:t>): Presentation among included subjects</w:t>
      </w:r>
    </w:p>
    <w:tbl>
      <w:tblPr>
        <w:tblStyle w:val="GridTable4-Accent11"/>
        <w:tblW w:w="4953" w:type="pct"/>
        <w:jc w:val="center"/>
        <w:tblLook w:val="04A0" w:firstRow="1" w:lastRow="0" w:firstColumn="1" w:lastColumn="0" w:noHBand="0" w:noVBand="1"/>
      </w:tblPr>
      <w:tblGrid>
        <w:gridCol w:w="2582"/>
        <w:gridCol w:w="2785"/>
        <w:gridCol w:w="2062"/>
        <w:gridCol w:w="2057"/>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361" w:type="pct"/>
            <w:hideMark/>
          </w:tcPr>
          <w:p w:rsidR="00161ABC" w:rsidRPr="00161ABC" w:rsidRDefault="00161ABC" w:rsidP="005B04A4">
            <w:pPr>
              <w:bidi w:val="0"/>
              <w:spacing w:after="0" w:line="240" w:lineRule="auto"/>
              <w:jc w:val="both"/>
              <w:rPr>
                <w:rFonts w:asciiTheme="majorBidi" w:eastAsia="Times New Roman" w:hAnsiTheme="majorBidi" w:cstheme="majorBidi"/>
                <w:b w:val="0"/>
                <w:bCs w:val="0"/>
                <w:color w:val="auto"/>
                <w:sz w:val="28"/>
                <w:szCs w:val="28"/>
              </w:rPr>
            </w:pPr>
            <w:r w:rsidRPr="00161ABC">
              <w:rPr>
                <w:rFonts w:asciiTheme="majorBidi" w:eastAsia="Times New Roman" w:hAnsiTheme="majorBidi" w:cstheme="majorBidi"/>
                <w:color w:val="auto"/>
                <w:sz w:val="28"/>
                <w:szCs w:val="28"/>
              </w:rPr>
              <w:t>System</w:t>
            </w:r>
          </w:p>
        </w:tc>
        <w:tc>
          <w:tcPr>
            <w:tcW w:w="1468" w:type="pct"/>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8"/>
                <w:szCs w:val="28"/>
              </w:rPr>
            </w:pPr>
            <w:r w:rsidRPr="00161ABC">
              <w:rPr>
                <w:rFonts w:asciiTheme="majorBidi" w:eastAsia="Times New Roman" w:hAnsiTheme="majorBidi" w:cstheme="majorBidi"/>
                <w:color w:val="auto"/>
                <w:sz w:val="28"/>
                <w:szCs w:val="28"/>
              </w:rPr>
              <w:t>Presentation</w:t>
            </w:r>
          </w:p>
        </w:tc>
        <w:tc>
          <w:tcPr>
            <w:tcW w:w="1087" w:type="pct"/>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8"/>
                <w:szCs w:val="28"/>
              </w:rPr>
            </w:pPr>
            <w:r w:rsidRPr="00161ABC">
              <w:rPr>
                <w:rFonts w:asciiTheme="majorBidi" w:eastAsia="Times New Roman" w:hAnsiTheme="majorBidi" w:cstheme="majorBidi"/>
                <w:color w:val="auto"/>
                <w:sz w:val="28"/>
                <w:szCs w:val="28"/>
              </w:rPr>
              <w:t>Number</w:t>
            </w:r>
          </w:p>
        </w:tc>
        <w:tc>
          <w:tcPr>
            <w:tcW w:w="1084" w:type="pct"/>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8"/>
                <w:szCs w:val="28"/>
              </w:rPr>
            </w:pPr>
            <w:r w:rsidRPr="00161ABC">
              <w:rPr>
                <w:rFonts w:asciiTheme="majorBidi" w:eastAsia="Times New Roman" w:hAnsiTheme="majorBidi" w:cstheme="majorBidi"/>
                <w:color w:val="auto"/>
                <w:sz w:val="28"/>
                <w:szCs w:val="28"/>
              </w:rPr>
              <w:t>Percentage</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361" w:type="pct"/>
            <w:vMerge w:val="restart"/>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Cardiovascular System</w:t>
            </w:r>
          </w:p>
        </w:tc>
        <w:tc>
          <w:tcPr>
            <w:tcW w:w="1468"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Bradycardia</w:t>
            </w:r>
            <w:proofErr w:type="spellEnd"/>
          </w:p>
        </w:tc>
        <w:tc>
          <w:tcPr>
            <w:tcW w:w="1087"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c>
          <w:tcPr>
            <w:tcW w:w="1084"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r>
      <w:tr w:rsidR="00161ABC" w:rsidRPr="00161ABC" w:rsidTr="005B04A4">
        <w:trPr>
          <w:trHeight w:val="229"/>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Hypotension</w:t>
            </w:r>
          </w:p>
        </w:tc>
        <w:tc>
          <w:tcPr>
            <w:tcW w:w="1087"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25</w:t>
            </w:r>
          </w:p>
        </w:tc>
        <w:tc>
          <w:tcPr>
            <w:tcW w:w="1084"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25%</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361" w:type="pct"/>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Respiratory System</w:t>
            </w:r>
          </w:p>
        </w:tc>
        <w:tc>
          <w:tcPr>
            <w:tcW w:w="1468"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Respiratory distress</w:t>
            </w:r>
          </w:p>
        </w:tc>
        <w:tc>
          <w:tcPr>
            <w:tcW w:w="1087"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49</w:t>
            </w:r>
          </w:p>
        </w:tc>
        <w:tc>
          <w:tcPr>
            <w:tcW w:w="1084"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49%</w:t>
            </w:r>
          </w:p>
        </w:tc>
      </w:tr>
      <w:tr w:rsidR="00161ABC" w:rsidRPr="00161ABC" w:rsidTr="005B04A4">
        <w:trPr>
          <w:trHeight w:val="229"/>
          <w:jc w:val="center"/>
        </w:trPr>
        <w:tc>
          <w:tcPr>
            <w:cnfStyle w:val="001000000000" w:firstRow="0" w:lastRow="0" w:firstColumn="1" w:lastColumn="0" w:oddVBand="0" w:evenVBand="0" w:oddHBand="0" w:evenHBand="0" w:firstRowFirstColumn="0" w:firstRowLastColumn="0" w:lastRowFirstColumn="0" w:lastRowLastColumn="0"/>
            <w:tcW w:w="1361" w:type="pct"/>
            <w:vMerge w:val="restart"/>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Oral </w:t>
            </w:r>
          </w:p>
        </w:tc>
        <w:tc>
          <w:tcPr>
            <w:tcW w:w="1468"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Drooling of saliva</w:t>
            </w:r>
          </w:p>
        </w:tc>
        <w:tc>
          <w:tcPr>
            <w:tcW w:w="1087"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12</w:t>
            </w:r>
          </w:p>
        </w:tc>
        <w:tc>
          <w:tcPr>
            <w:tcW w:w="1084"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12%</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361" w:type="pct"/>
            <w:vMerge/>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Smell of phenol</w:t>
            </w:r>
          </w:p>
        </w:tc>
        <w:tc>
          <w:tcPr>
            <w:tcW w:w="1087"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c>
          <w:tcPr>
            <w:tcW w:w="1084"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r>
      <w:tr w:rsidR="00161ABC" w:rsidRPr="00161ABC" w:rsidTr="005B04A4">
        <w:trPr>
          <w:trHeight w:val="229"/>
          <w:jc w:val="center"/>
        </w:trPr>
        <w:tc>
          <w:tcPr>
            <w:cnfStyle w:val="001000000000" w:firstRow="0" w:lastRow="0" w:firstColumn="1" w:lastColumn="0" w:oddVBand="0" w:evenVBand="0" w:oddHBand="0" w:evenHBand="0" w:firstRowFirstColumn="0" w:firstRowLastColumn="0" w:lastRowFirstColumn="0" w:lastRowLastColumn="0"/>
            <w:tcW w:w="1361" w:type="pct"/>
            <w:vMerge/>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Oral white patch</w:t>
            </w:r>
          </w:p>
        </w:tc>
        <w:tc>
          <w:tcPr>
            <w:tcW w:w="1087"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c>
          <w:tcPr>
            <w:tcW w:w="1084"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361" w:type="pct"/>
            <w:vMerge w:val="restart"/>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Gastrointestinal System</w:t>
            </w:r>
          </w:p>
        </w:tc>
        <w:tc>
          <w:tcPr>
            <w:tcW w:w="1468"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Constipation</w:t>
            </w:r>
          </w:p>
        </w:tc>
        <w:tc>
          <w:tcPr>
            <w:tcW w:w="1087"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w:t>
            </w:r>
          </w:p>
        </w:tc>
        <w:tc>
          <w:tcPr>
            <w:tcW w:w="1084"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w:t>
            </w:r>
          </w:p>
        </w:tc>
      </w:tr>
      <w:tr w:rsidR="00161ABC" w:rsidRPr="00161ABC" w:rsidTr="005B04A4">
        <w:trPr>
          <w:trHeight w:val="229"/>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Difficult feeding</w:t>
            </w:r>
          </w:p>
        </w:tc>
        <w:tc>
          <w:tcPr>
            <w:tcW w:w="1087"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1084"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Gastroenteritis</w:t>
            </w:r>
          </w:p>
        </w:tc>
        <w:tc>
          <w:tcPr>
            <w:tcW w:w="1087"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1084"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r w:rsidR="00161ABC" w:rsidRPr="00161ABC" w:rsidTr="005B04A4">
        <w:trPr>
          <w:trHeight w:val="121"/>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Nausea</w:t>
            </w:r>
          </w:p>
        </w:tc>
        <w:tc>
          <w:tcPr>
            <w:tcW w:w="1087"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w:t>
            </w:r>
          </w:p>
        </w:tc>
        <w:tc>
          <w:tcPr>
            <w:tcW w:w="1084"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Severe abdominal pain</w:t>
            </w:r>
          </w:p>
        </w:tc>
        <w:tc>
          <w:tcPr>
            <w:tcW w:w="1087"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w:t>
            </w:r>
          </w:p>
        </w:tc>
        <w:tc>
          <w:tcPr>
            <w:tcW w:w="1084"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w:t>
            </w:r>
          </w:p>
        </w:tc>
      </w:tr>
      <w:tr w:rsidR="00161ABC" w:rsidRPr="00161ABC" w:rsidTr="005B04A4">
        <w:trPr>
          <w:trHeight w:val="121"/>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Vomiting</w:t>
            </w:r>
          </w:p>
        </w:tc>
        <w:tc>
          <w:tcPr>
            <w:tcW w:w="1087"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38</w:t>
            </w:r>
          </w:p>
        </w:tc>
        <w:tc>
          <w:tcPr>
            <w:tcW w:w="1084"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38%</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361" w:type="pct"/>
            <w:vMerge w:val="restart"/>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Nervous System</w:t>
            </w:r>
          </w:p>
        </w:tc>
        <w:tc>
          <w:tcPr>
            <w:tcW w:w="1468"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Agitation</w:t>
            </w:r>
          </w:p>
        </w:tc>
        <w:tc>
          <w:tcPr>
            <w:tcW w:w="1087"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1084"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r w:rsidR="00161ABC" w:rsidRPr="00161ABC" w:rsidTr="005B04A4">
        <w:trPr>
          <w:trHeight w:val="121"/>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Confusion</w:t>
            </w:r>
          </w:p>
        </w:tc>
        <w:tc>
          <w:tcPr>
            <w:tcW w:w="1087"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1084"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Drowsiness</w:t>
            </w:r>
          </w:p>
        </w:tc>
        <w:tc>
          <w:tcPr>
            <w:tcW w:w="1087"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23</w:t>
            </w:r>
          </w:p>
        </w:tc>
        <w:tc>
          <w:tcPr>
            <w:tcW w:w="1084"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23%</w:t>
            </w:r>
          </w:p>
        </w:tc>
      </w:tr>
      <w:tr w:rsidR="00161ABC" w:rsidRPr="00161ABC" w:rsidTr="005B04A4">
        <w:trPr>
          <w:trHeight w:val="121"/>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Lethargy</w:t>
            </w:r>
          </w:p>
        </w:tc>
        <w:tc>
          <w:tcPr>
            <w:tcW w:w="1087"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w:t>
            </w:r>
          </w:p>
        </w:tc>
        <w:tc>
          <w:tcPr>
            <w:tcW w:w="1084"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Unconsciousness</w:t>
            </w:r>
          </w:p>
        </w:tc>
        <w:tc>
          <w:tcPr>
            <w:tcW w:w="1087"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18</w:t>
            </w:r>
          </w:p>
        </w:tc>
        <w:tc>
          <w:tcPr>
            <w:tcW w:w="1084"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18%</w:t>
            </w:r>
          </w:p>
        </w:tc>
      </w:tr>
      <w:tr w:rsidR="00161ABC" w:rsidRPr="00161ABC" w:rsidTr="005B04A4">
        <w:trPr>
          <w:trHeight w:val="121"/>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Weak cry</w:t>
            </w:r>
          </w:p>
        </w:tc>
        <w:tc>
          <w:tcPr>
            <w:tcW w:w="1087"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w:t>
            </w:r>
          </w:p>
        </w:tc>
        <w:tc>
          <w:tcPr>
            <w:tcW w:w="1084"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w:t>
            </w:r>
          </w:p>
        </w:tc>
      </w:tr>
      <w:tr w:rsidR="005B04A4" w:rsidRPr="00161ABC" w:rsidTr="005B04A4">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1361"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468"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Weakness</w:t>
            </w:r>
          </w:p>
        </w:tc>
        <w:tc>
          <w:tcPr>
            <w:tcW w:w="1087"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1084"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bl>
    <w:p w:rsidR="00161ABC" w:rsidRPr="00161ABC" w:rsidRDefault="00161ABC" w:rsidP="00161ABC">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5</w:t>
      </w:r>
      <w:r w:rsidRPr="00161ABC">
        <w:rPr>
          <w:rFonts w:asciiTheme="majorBidi" w:hAnsiTheme="majorBidi" w:cstheme="majorBidi"/>
          <w:sz w:val="28"/>
          <w:szCs w:val="28"/>
        </w:rPr>
        <w:t xml:space="preserve">) showed that: Hypotension was the most common presentation in the Cardiovascular System (25%), followed by </w:t>
      </w:r>
      <w:proofErr w:type="spellStart"/>
      <w:r w:rsidRPr="00161ABC">
        <w:rPr>
          <w:rFonts w:asciiTheme="majorBidi" w:hAnsiTheme="majorBidi" w:cstheme="majorBidi"/>
          <w:sz w:val="28"/>
          <w:szCs w:val="28"/>
        </w:rPr>
        <w:t>bradycardia</w:t>
      </w:r>
      <w:proofErr w:type="spellEnd"/>
      <w:r w:rsidRPr="00161ABC">
        <w:rPr>
          <w:rFonts w:asciiTheme="majorBidi" w:hAnsiTheme="majorBidi" w:cstheme="majorBidi"/>
          <w:sz w:val="28"/>
          <w:szCs w:val="28"/>
        </w:rPr>
        <w:t xml:space="preserve"> (5%). Respiratory distress was the most prevalent presentation in the Respiratory System (49%). Oral manifestation included drooling of saliva (12%), smell of phenol (5%), and white oral patches (7%).Vomiting was the most common presentation in the Gastrointestinal System (38%), while the Nervous System exhibited presentations such as drowsiness (23%), unconsciousness (18%), lethargy (11%), and weakness (6%).</w:t>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lastRenderedPageBreak/>
        <w:t>Table (</w:t>
      </w:r>
      <w:r>
        <w:rPr>
          <w:rFonts w:asciiTheme="majorBidi" w:hAnsiTheme="majorBidi" w:cstheme="majorBidi"/>
          <w:sz w:val="28"/>
          <w:szCs w:val="28"/>
        </w:rPr>
        <w:t>6</w:t>
      </w:r>
      <w:r w:rsidRPr="00161ABC">
        <w:rPr>
          <w:rFonts w:asciiTheme="majorBidi" w:hAnsiTheme="majorBidi" w:cstheme="majorBidi"/>
          <w:sz w:val="28"/>
          <w:szCs w:val="28"/>
        </w:rPr>
        <w:t>): Management done for subjects</w:t>
      </w:r>
    </w:p>
    <w:tbl>
      <w:tblPr>
        <w:tblStyle w:val="GridTable4-Accent11"/>
        <w:tblW w:w="4839" w:type="pct"/>
        <w:jc w:val="center"/>
        <w:tblLook w:val="04A0" w:firstRow="1" w:lastRow="0" w:firstColumn="1" w:lastColumn="0" w:noHBand="0" w:noVBand="1"/>
      </w:tblPr>
      <w:tblGrid>
        <w:gridCol w:w="2841"/>
        <w:gridCol w:w="2260"/>
        <w:gridCol w:w="2085"/>
        <w:gridCol w:w="2082"/>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533" w:type="pct"/>
            <w:hideMark/>
          </w:tcPr>
          <w:p w:rsidR="00161ABC" w:rsidRPr="00161ABC" w:rsidRDefault="00161ABC" w:rsidP="005B04A4">
            <w:pPr>
              <w:bidi w:val="0"/>
              <w:spacing w:after="0" w:line="240" w:lineRule="auto"/>
              <w:jc w:val="both"/>
              <w:rPr>
                <w:rFonts w:asciiTheme="majorBidi" w:eastAsia="Times New Roman" w:hAnsiTheme="majorBidi" w:cstheme="majorBidi"/>
                <w:b w:val="0"/>
                <w:bCs w:val="0"/>
                <w:color w:val="auto"/>
                <w:sz w:val="28"/>
                <w:szCs w:val="28"/>
              </w:rPr>
            </w:pPr>
            <w:r w:rsidRPr="00161ABC">
              <w:rPr>
                <w:rFonts w:asciiTheme="majorBidi" w:eastAsia="Times New Roman" w:hAnsiTheme="majorBidi" w:cstheme="majorBidi"/>
                <w:color w:val="auto"/>
                <w:sz w:val="28"/>
                <w:szCs w:val="28"/>
              </w:rPr>
              <w:t>Category</w:t>
            </w:r>
          </w:p>
        </w:tc>
        <w:tc>
          <w:tcPr>
            <w:tcW w:w="1219" w:type="pct"/>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8"/>
                <w:szCs w:val="28"/>
              </w:rPr>
            </w:pPr>
            <w:r w:rsidRPr="00161ABC">
              <w:rPr>
                <w:rFonts w:asciiTheme="majorBidi" w:eastAsia="Times New Roman" w:hAnsiTheme="majorBidi" w:cstheme="majorBidi"/>
                <w:color w:val="auto"/>
                <w:sz w:val="28"/>
                <w:szCs w:val="28"/>
              </w:rPr>
              <w:t>Treatment</w:t>
            </w:r>
          </w:p>
        </w:tc>
        <w:tc>
          <w:tcPr>
            <w:tcW w:w="1125" w:type="pct"/>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8"/>
                <w:szCs w:val="28"/>
              </w:rPr>
            </w:pPr>
            <w:r w:rsidRPr="00161ABC">
              <w:rPr>
                <w:rFonts w:asciiTheme="majorBidi" w:eastAsia="Times New Roman" w:hAnsiTheme="majorBidi" w:cstheme="majorBidi"/>
                <w:color w:val="auto"/>
                <w:sz w:val="28"/>
                <w:szCs w:val="28"/>
              </w:rPr>
              <w:t>Number</w:t>
            </w:r>
          </w:p>
        </w:tc>
        <w:tc>
          <w:tcPr>
            <w:tcW w:w="1123" w:type="pct"/>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8"/>
                <w:szCs w:val="28"/>
              </w:rPr>
            </w:pPr>
            <w:r w:rsidRPr="00161ABC">
              <w:rPr>
                <w:rFonts w:asciiTheme="majorBidi" w:eastAsia="Times New Roman" w:hAnsiTheme="majorBidi" w:cstheme="majorBidi"/>
                <w:color w:val="auto"/>
                <w:sz w:val="28"/>
                <w:szCs w:val="28"/>
              </w:rPr>
              <w:t>Percentage</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533" w:type="pct"/>
          </w:tcPr>
          <w:p w:rsidR="00161ABC" w:rsidRPr="00161ABC" w:rsidRDefault="00161ABC" w:rsidP="005B04A4">
            <w:pPr>
              <w:bidi w:val="0"/>
              <w:spacing w:after="0" w:line="240" w:lineRule="auto"/>
              <w:jc w:val="both"/>
              <w:rPr>
                <w:rFonts w:asciiTheme="majorBidi" w:eastAsia="Times New Roman" w:hAnsiTheme="majorBidi" w:cstheme="majorBidi"/>
                <w:b w:val="0"/>
                <w:bCs w:val="0"/>
                <w:sz w:val="28"/>
                <w:szCs w:val="28"/>
              </w:rPr>
            </w:pPr>
            <w:r w:rsidRPr="00161ABC">
              <w:rPr>
                <w:rFonts w:asciiTheme="majorBidi" w:eastAsia="Times New Roman" w:hAnsiTheme="majorBidi" w:cstheme="majorBidi"/>
                <w:sz w:val="28"/>
                <w:szCs w:val="28"/>
              </w:rPr>
              <w:t>ABC</w:t>
            </w:r>
          </w:p>
        </w:tc>
        <w:tc>
          <w:tcPr>
            <w:tcW w:w="1219"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161ABC">
              <w:rPr>
                <w:rFonts w:asciiTheme="majorBidi" w:eastAsia="Times New Roman" w:hAnsiTheme="majorBidi" w:cstheme="majorBidi"/>
                <w:b/>
                <w:bCs/>
                <w:sz w:val="28"/>
                <w:szCs w:val="28"/>
              </w:rPr>
              <w:t>ABC</w:t>
            </w:r>
          </w:p>
        </w:tc>
        <w:tc>
          <w:tcPr>
            <w:tcW w:w="1125"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161ABC">
              <w:rPr>
                <w:rFonts w:asciiTheme="majorBidi" w:eastAsia="Times New Roman" w:hAnsiTheme="majorBidi" w:cstheme="majorBidi"/>
                <w:b/>
                <w:bCs/>
                <w:sz w:val="28"/>
                <w:szCs w:val="28"/>
              </w:rPr>
              <w:t>100</w:t>
            </w:r>
          </w:p>
        </w:tc>
        <w:tc>
          <w:tcPr>
            <w:tcW w:w="1123"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8"/>
                <w:szCs w:val="28"/>
              </w:rPr>
            </w:pPr>
            <w:r w:rsidRPr="00161ABC">
              <w:rPr>
                <w:rFonts w:asciiTheme="majorBidi" w:eastAsia="Times New Roman" w:hAnsiTheme="majorBidi" w:cstheme="majorBidi"/>
                <w:b/>
                <w:bCs/>
                <w:sz w:val="28"/>
                <w:szCs w:val="28"/>
              </w:rPr>
              <w:t>100%</w:t>
            </w:r>
          </w:p>
        </w:tc>
      </w:tr>
      <w:tr w:rsidR="00161ABC" w:rsidRPr="00161ABC" w:rsidTr="005B04A4">
        <w:trPr>
          <w:trHeight w:val="309"/>
          <w:jc w:val="center"/>
        </w:trPr>
        <w:tc>
          <w:tcPr>
            <w:cnfStyle w:val="001000000000" w:firstRow="0" w:lastRow="0" w:firstColumn="1" w:lastColumn="0" w:oddVBand="0" w:evenVBand="0" w:oddHBand="0" w:evenHBand="0" w:firstRowFirstColumn="0" w:firstRowLastColumn="0" w:lastRowFirstColumn="0" w:lastRowLastColumn="0"/>
            <w:tcW w:w="1533" w:type="pct"/>
            <w:vMerge w:val="restart"/>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Decontamination</w:t>
            </w:r>
          </w:p>
        </w:tc>
        <w:tc>
          <w:tcPr>
            <w:tcW w:w="1219"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Dilution therapy</w:t>
            </w:r>
          </w:p>
        </w:tc>
        <w:tc>
          <w:tcPr>
            <w:tcW w:w="1125"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22</w:t>
            </w:r>
          </w:p>
        </w:tc>
        <w:tc>
          <w:tcPr>
            <w:tcW w:w="1123"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22%</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Gastric wash</w:t>
            </w:r>
          </w:p>
        </w:tc>
        <w:tc>
          <w:tcPr>
            <w:tcW w:w="1125"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77</w:t>
            </w:r>
          </w:p>
        </w:tc>
        <w:tc>
          <w:tcPr>
            <w:tcW w:w="1123"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77%</w:t>
            </w:r>
          </w:p>
        </w:tc>
      </w:tr>
      <w:tr w:rsidR="00161ABC" w:rsidRPr="00161ABC" w:rsidTr="005B04A4">
        <w:trPr>
          <w:trHeight w:val="309"/>
          <w:jc w:val="center"/>
        </w:trPr>
        <w:tc>
          <w:tcPr>
            <w:cnfStyle w:val="001000000000" w:firstRow="0" w:lastRow="0" w:firstColumn="1" w:lastColumn="0" w:oddVBand="0" w:evenVBand="0" w:oddHBand="0" w:evenHBand="0" w:firstRowFirstColumn="0" w:firstRowLastColumn="0" w:lastRowFirstColumn="0" w:lastRowLastColumn="0"/>
            <w:tcW w:w="1533" w:type="pct"/>
            <w:vMerge w:val="restart"/>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Antidote</w:t>
            </w:r>
          </w:p>
        </w:tc>
        <w:tc>
          <w:tcPr>
            <w:tcW w:w="1219"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Activated charcoal</w:t>
            </w:r>
          </w:p>
        </w:tc>
        <w:tc>
          <w:tcPr>
            <w:tcW w:w="1125"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c>
          <w:tcPr>
            <w:tcW w:w="1123"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Botulium</w:t>
            </w:r>
            <w:proofErr w:type="spellEnd"/>
            <w:r w:rsidRPr="00161ABC">
              <w:rPr>
                <w:rFonts w:asciiTheme="majorBidi" w:eastAsia="Times New Roman" w:hAnsiTheme="majorBidi" w:cstheme="majorBidi"/>
                <w:sz w:val="28"/>
                <w:szCs w:val="28"/>
              </w:rPr>
              <w:t xml:space="preserve"> antitoxin</w:t>
            </w:r>
          </w:p>
        </w:tc>
        <w:tc>
          <w:tcPr>
            <w:tcW w:w="1125"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1123"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r w:rsidR="00161ABC" w:rsidRPr="00161ABC" w:rsidTr="005B04A4">
        <w:trPr>
          <w:trHeight w:val="164"/>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Atropine</w:t>
            </w:r>
          </w:p>
        </w:tc>
        <w:tc>
          <w:tcPr>
            <w:tcW w:w="1125"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17</w:t>
            </w:r>
          </w:p>
        </w:tc>
        <w:tc>
          <w:tcPr>
            <w:tcW w:w="1123"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17%</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Defroxamine</w:t>
            </w:r>
            <w:proofErr w:type="spellEnd"/>
          </w:p>
        </w:tc>
        <w:tc>
          <w:tcPr>
            <w:tcW w:w="1125"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c>
          <w:tcPr>
            <w:tcW w:w="1123"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r>
      <w:tr w:rsidR="00161ABC" w:rsidRPr="00161ABC" w:rsidTr="005B04A4">
        <w:trPr>
          <w:trHeight w:val="164"/>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Egg white</w:t>
            </w:r>
          </w:p>
        </w:tc>
        <w:tc>
          <w:tcPr>
            <w:tcW w:w="1125"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c>
          <w:tcPr>
            <w:tcW w:w="1123"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1533" w:type="pct"/>
            <w:vMerge w:val="restart"/>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Symptomatic Treatment</w:t>
            </w:r>
          </w:p>
        </w:tc>
        <w:tc>
          <w:tcPr>
            <w:tcW w:w="1219"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Steroids</w:t>
            </w:r>
          </w:p>
        </w:tc>
        <w:tc>
          <w:tcPr>
            <w:tcW w:w="1125"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22</w:t>
            </w:r>
          </w:p>
        </w:tc>
        <w:tc>
          <w:tcPr>
            <w:tcW w:w="1123"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22%</w:t>
            </w:r>
          </w:p>
        </w:tc>
      </w:tr>
      <w:tr w:rsidR="00161ABC" w:rsidRPr="00161ABC" w:rsidTr="005B04A4">
        <w:trPr>
          <w:trHeight w:val="461"/>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Symptomatic treatment</w:t>
            </w:r>
          </w:p>
        </w:tc>
        <w:tc>
          <w:tcPr>
            <w:tcW w:w="1125"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1123"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533" w:type="pct"/>
            <w:vMerge w:val="restart"/>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Antibiotics</w:t>
            </w:r>
          </w:p>
        </w:tc>
        <w:tc>
          <w:tcPr>
            <w:tcW w:w="1219"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Antibiotics</w:t>
            </w:r>
          </w:p>
        </w:tc>
        <w:tc>
          <w:tcPr>
            <w:tcW w:w="1125"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60</w:t>
            </w:r>
          </w:p>
        </w:tc>
        <w:tc>
          <w:tcPr>
            <w:tcW w:w="1123"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60%</w:t>
            </w:r>
          </w:p>
        </w:tc>
      </w:tr>
      <w:tr w:rsidR="00161ABC" w:rsidRPr="00161ABC" w:rsidTr="005B04A4">
        <w:trPr>
          <w:trHeight w:val="309"/>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Vancomycin</w:t>
            </w:r>
            <w:proofErr w:type="spellEnd"/>
            <w:r w:rsidRPr="00161ABC">
              <w:rPr>
                <w:rFonts w:asciiTheme="majorBidi" w:eastAsia="Times New Roman" w:hAnsiTheme="majorBidi" w:cstheme="majorBidi"/>
                <w:sz w:val="28"/>
                <w:szCs w:val="28"/>
              </w:rPr>
              <w:t xml:space="preserve"> IV</w:t>
            </w:r>
          </w:p>
        </w:tc>
        <w:tc>
          <w:tcPr>
            <w:tcW w:w="1125"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8</w:t>
            </w:r>
          </w:p>
        </w:tc>
        <w:tc>
          <w:tcPr>
            <w:tcW w:w="1123"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8%</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Ultracillin</w:t>
            </w:r>
            <w:proofErr w:type="spellEnd"/>
          </w:p>
        </w:tc>
        <w:tc>
          <w:tcPr>
            <w:tcW w:w="1125"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41</w:t>
            </w:r>
          </w:p>
        </w:tc>
        <w:tc>
          <w:tcPr>
            <w:tcW w:w="1123"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41%</w:t>
            </w:r>
          </w:p>
        </w:tc>
      </w:tr>
      <w:tr w:rsidR="00161ABC" w:rsidRPr="00161ABC" w:rsidTr="005B04A4">
        <w:trPr>
          <w:trHeight w:val="164"/>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Clorofan</w:t>
            </w:r>
            <w:proofErr w:type="spellEnd"/>
          </w:p>
        </w:tc>
        <w:tc>
          <w:tcPr>
            <w:tcW w:w="1125"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c>
          <w:tcPr>
            <w:tcW w:w="1123"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Claforan</w:t>
            </w:r>
            <w:proofErr w:type="spellEnd"/>
          </w:p>
        </w:tc>
        <w:tc>
          <w:tcPr>
            <w:tcW w:w="1125"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35</w:t>
            </w:r>
          </w:p>
        </w:tc>
        <w:tc>
          <w:tcPr>
            <w:tcW w:w="1123"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35%</w:t>
            </w:r>
          </w:p>
        </w:tc>
      </w:tr>
      <w:tr w:rsidR="00161ABC" w:rsidRPr="00161ABC" w:rsidTr="005B04A4">
        <w:trPr>
          <w:trHeight w:val="309"/>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Ceftriaxone</w:t>
            </w:r>
          </w:p>
        </w:tc>
        <w:tc>
          <w:tcPr>
            <w:tcW w:w="1125"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8</w:t>
            </w:r>
          </w:p>
        </w:tc>
        <w:tc>
          <w:tcPr>
            <w:tcW w:w="1123"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8%</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Ceftizidine</w:t>
            </w:r>
            <w:proofErr w:type="spellEnd"/>
          </w:p>
        </w:tc>
        <w:tc>
          <w:tcPr>
            <w:tcW w:w="1125"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c>
          <w:tcPr>
            <w:tcW w:w="1123"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r>
      <w:tr w:rsidR="00161ABC" w:rsidRPr="00161ABC" w:rsidTr="005B04A4">
        <w:trPr>
          <w:trHeight w:val="613"/>
          <w:jc w:val="center"/>
        </w:trPr>
        <w:tc>
          <w:tcPr>
            <w:cnfStyle w:val="001000000000" w:firstRow="0" w:lastRow="0" w:firstColumn="1" w:lastColumn="0" w:oddVBand="0" w:evenVBand="0" w:oddHBand="0" w:evenHBand="0" w:firstRowFirstColumn="0" w:firstRowLastColumn="0" w:lastRowFirstColumn="0" w:lastRowLastColumn="0"/>
            <w:tcW w:w="1533" w:type="pct"/>
            <w:vMerge w:val="restart"/>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tl/>
                <w:lang w:bidi="ar-EG"/>
              </w:rPr>
            </w:pPr>
            <w:r w:rsidRPr="00161ABC">
              <w:rPr>
                <w:rFonts w:asciiTheme="majorBidi" w:eastAsia="Times New Roman" w:hAnsiTheme="majorBidi" w:cstheme="majorBidi"/>
                <w:sz w:val="28"/>
                <w:szCs w:val="28"/>
              </w:rPr>
              <w:t>Others</w:t>
            </w:r>
          </w:p>
        </w:tc>
        <w:tc>
          <w:tcPr>
            <w:tcW w:w="1219"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Adequate nutrition for 3 weeks</w:t>
            </w:r>
          </w:p>
        </w:tc>
        <w:tc>
          <w:tcPr>
            <w:tcW w:w="1125"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w:t>
            </w:r>
          </w:p>
        </w:tc>
        <w:tc>
          <w:tcPr>
            <w:tcW w:w="1123"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Ampoule of </w:t>
            </w:r>
            <w:proofErr w:type="spellStart"/>
            <w:r w:rsidRPr="00161ABC">
              <w:rPr>
                <w:rFonts w:asciiTheme="majorBidi" w:eastAsia="Times New Roman" w:hAnsiTheme="majorBidi" w:cstheme="majorBidi"/>
                <w:sz w:val="28"/>
                <w:szCs w:val="28"/>
              </w:rPr>
              <w:t>danset</w:t>
            </w:r>
            <w:proofErr w:type="spellEnd"/>
          </w:p>
        </w:tc>
        <w:tc>
          <w:tcPr>
            <w:tcW w:w="1125"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c>
          <w:tcPr>
            <w:tcW w:w="1123"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r>
      <w:tr w:rsidR="00161ABC" w:rsidRPr="00161ABC" w:rsidTr="005B04A4">
        <w:trPr>
          <w:trHeight w:val="164"/>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Milk</w:t>
            </w:r>
          </w:p>
        </w:tc>
        <w:tc>
          <w:tcPr>
            <w:tcW w:w="1125"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c>
          <w:tcPr>
            <w:tcW w:w="1123"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Saline</w:t>
            </w:r>
          </w:p>
        </w:tc>
        <w:tc>
          <w:tcPr>
            <w:tcW w:w="1125" w:type="pct"/>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c>
          <w:tcPr>
            <w:tcW w:w="1123" w:type="pct"/>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w:t>
            </w:r>
          </w:p>
        </w:tc>
      </w:tr>
      <w:tr w:rsidR="005B04A4" w:rsidRPr="00161ABC" w:rsidTr="005B04A4">
        <w:trPr>
          <w:trHeight w:val="309"/>
          <w:jc w:val="center"/>
        </w:trPr>
        <w:tc>
          <w:tcPr>
            <w:cnfStyle w:val="001000000000" w:firstRow="0" w:lastRow="0" w:firstColumn="1" w:lastColumn="0" w:oddVBand="0" w:evenVBand="0" w:oddHBand="0" w:evenHBand="0" w:firstRowFirstColumn="0" w:firstRowLastColumn="0" w:lastRowFirstColumn="0" w:lastRowLastColumn="0"/>
            <w:tcW w:w="1533"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219"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H2 blockers</w:t>
            </w:r>
          </w:p>
        </w:tc>
        <w:tc>
          <w:tcPr>
            <w:tcW w:w="1125" w:type="pct"/>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17</w:t>
            </w:r>
          </w:p>
        </w:tc>
        <w:tc>
          <w:tcPr>
            <w:tcW w:w="1123" w:type="pct"/>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17%</w:t>
            </w:r>
          </w:p>
        </w:tc>
      </w:tr>
    </w:tbl>
    <w:p w:rsidR="00161ABC" w:rsidRPr="00161ABC" w:rsidRDefault="00161ABC" w:rsidP="00161ABC">
      <w:pPr>
        <w:bidi w:val="0"/>
        <w:spacing w:line="360" w:lineRule="auto"/>
        <w:jc w:val="both"/>
        <w:rPr>
          <w:rFonts w:asciiTheme="majorBidi" w:hAnsiTheme="majorBidi" w:cstheme="majorBidi"/>
          <w:sz w:val="28"/>
          <w:szCs w:val="28"/>
        </w:rPr>
      </w:pPr>
    </w:p>
    <w:p w:rsidR="005B04A4" w:rsidRDefault="00161ABC" w:rsidP="005B04A4">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6</w:t>
      </w:r>
      <w:r w:rsidRPr="00161ABC">
        <w:rPr>
          <w:rFonts w:asciiTheme="majorBidi" w:hAnsiTheme="majorBidi" w:cstheme="majorBidi"/>
          <w:sz w:val="28"/>
          <w:szCs w:val="28"/>
        </w:rPr>
        <w:t>) showed that:</w:t>
      </w:r>
    </w:p>
    <w:p w:rsidR="00161ABC" w:rsidRPr="00161ABC" w:rsidRDefault="00161ABC" w:rsidP="005B04A4">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In the Decontamination category, dilution therapy was utilized in 22% of cases, while gastric wash was the predominant method, applied to 77% of the subjects.</w:t>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lastRenderedPageBreak/>
        <w:t xml:space="preserve">Antidote treatments included activated charcoal (5%), </w:t>
      </w:r>
      <w:proofErr w:type="spellStart"/>
      <w:r w:rsidRPr="00161ABC">
        <w:rPr>
          <w:rFonts w:asciiTheme="majorBidi" w:hAnsiTheme="majorBidi" w:cstheme="majorBidi"/>
          <w:sz w:val="28"/>
          <w:szCs w:val="28"/>
        </w:rPr>
        <w:t>botulium</w:t>
      </w:r>
      <w:proofErr w:type="spellEnd"/>
      <w:r w:rsidRPr="00161ABC">
        <w:rPr>
          <w:rFonts w:asciiTheme="majorBidi" w:hAnsiTheme="majorBidi" w:cstheme="majorBidi"/>
          <w:sz w:val="28"/>
          <w:szCs w:val="28"/>
        </w:rPr>
        <w:t xml:space="preserve"> antitoxin (6%), atropine (17%), </w:t>
      </w:r>
      <w:proofErr w:type="spellStart"/>
      <w:r w:rsidRPr="00161ABC">
        <w:rPr>
          <w:rFonts w:asciiTheme="majorBidi" w:hAnsiTheme="majorBidi" w:cstheme="majorBidi"/>
          <w:sz w:val="28"/>
          <w:szCs w:val="28"/>
        </w:rPr>
        <w:t>defroxamine</w:t>
      </w:r>
      <w:proofErr w:type="spellEnd"/>
      <w:r w:rsidRPr="00161ABC">
        <w:rPr>
          <w:rFonts w:asciiTheme="majorBidi" w:hAnsiTheme="majorBidi" w:cstheme="majorBidi"/>
          <w:sz w:val="28"/>
          <w:szCs w:val="28"/>
        </w:rPr>
        <w:t xml:space="preserve"> (5%), and egg white (5%), indicating the use of specific countermeasures for certain toxic substances.</w:t>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Symptomatic treatment involved the administration of steroids in 22% of cases and other general symptomatic treatments in 6% of cases, aimed at alleviating symptoms and managing patient comfort.</w:t>
      </w:r>
    </w:p>
    <w:p w:rsid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 xml:space="preserve">Antibiotics were employed as a treatment strategy in 60% of cases, with various antibiotics administered, including </w:t>
      </w:r>
      <w:proofErr w:type="spellStart"/>
      <w:r w:rsidRPr="00161ABC">
        <w:rPr>
          <w:rFonts w:asciiTheme="majorBidi" w:hAnsiTheme="majorBidi" w:cstheme="majorBidi"/>
          <w:sz w:val="28"/>
          <w:szCs w:val="28"/>
        </w:rPr>
        <w:t>vancomycin</w:t>
      </w:r>
      <w:proofErr w:type="spellEnd"/>
      <w:r w:rsidRPr="00161ABC">
        <w:rPr>
          <w:rFonts w:asciiTheme="majorBidi" w:hAnsiTheme="majorBidi" w:cstheme="majorBidi"/>
          <w:sz w:val="28"/>
          <w:szCs w:val="28"/>
        </w:rPr>
        <w:t xml:space="preserve"> IV (8%), </w:t>
      </w:r>
      <w:proofErr w:type="spellStart"/>
      <w:r w:rsidRPr="00161ABC">
        <w:rPr>
          <w:rFonts w:asciiTheme="majorBidi" w:hAnsiTheme="majorBidi" w:cstheme="majorBidi"/>
          <w:sz w:val="28"/>
          <w:szCs w:val="28"/>
        </w:rPr>
        <w:t>ultracillin</w:t>
      </w:r>
      <w:proofErr w:type="spellEnd"/>
      <w:r w:rsidRPr="00161ABC">
        <w:rPr>
          <w:rFonts w:asciiTheme="majorBidi" w:hAnsiTheme="majorBidi" w:cstheme="majorBidi"/>
          <w:sz w:val="28"/>
          <w:szCs w:val="28"/>
        </w:rPr>
        <w:t xml:space="preserve"> (41%), </w:t>
      </w:r>
      <w:proofErr w:type="spellStart"/>
      <w:r w:rsidRPr="00161ABC">
        <w:rPr>
          <w:rFonts w:asciiTheme="majorBidi" w:hAnsiTheme="majorBidi" w:cstheme="majorBidi"/>
          <w:sz w:val="28"/>
          <w:szCs w:val="28"/>
        </w:rPr>
        <w:t>clorofan</w:t>
      </w:r>
      <w:proofErr w:type="spellEnd"/>
      <w:r w:rsidRPr="00161ABC">
        <w:rPr>
          <w:rFonts w:asciiTheme="majorBidi" w:hAnsiTheme="majorBidi" w:cstheme="majorBidi"/>
          <w:sz w:val="28"/>
          <w:szCs w:val="28"/>
        </w:rPr>
        <w:t xml:space="preserve"> (6%), </w:t>
      </w:r>
      <w:proofErr w:type="spellStart"/>
      <w:r w:rsidRPr="00161ABC">
        <w:rPr>
          <w:rFonts w:asciiTheme="majorBidi" w:hAnsiTheme="majorBidi" w:cstheme="majorBidi"/>
          <w:sz w:val="28"/>
          <w:szCs w:val="28"/>
        </w:rPr>
        <w:t>claforan</w:t>
      </w:r>
      <w:proofErr w:type="spellEnd"/>
      <w:r w:rsidRPr="00161ABC">
        <w:rPr>
          <w:rFonts w:asciiTheme="majorBidi" w:hAnsiTheme="majorBidi" w:cstheme="majorBidi"/>
          <w:sz w:val="28"/>
          <w:szCs w:val="28"/>
        </w:rPr>
        <w:t xml:space="preserve"> (35%), ceftriaxone (8%), and </w:t>
      </w:r>
      <w:proofErr w:type="spellStart"/>
      <w:r w:rsidRPr="00161ABC">
        <w:rPr>
          <w:rFonts w:asciiTheme="majorBidi" w:hAnsiTheme="majorBidi" w:cstheme="majorBidi"/>
          <w:sz w:val="28"/>
          <w:szCs w:val="28"/>
        </w:rPr>
        <w:t>ceftizidine</w:t>
      </w:r>
      <w:proofErr w:type="spellEnd"/>
      <w:r w:rsidRPr="00161ABC">
        <w:rPr>
          <w:rFonts w:asciiTheme="majorBidi" w:hAnsiTheme="majorBidi" w:cstheme="majorBidi"/>
          <w:sz w:val="28"/>
          <w:szCs w:val="28"/>
        </w:rPr>
        <w:t xml:space="preserve"> (5%).</w:t>
      </w: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Pr="00161ABC" w:rsidRDefault="005B04A4" w:rsidP="005B04A4">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lastRenderedPageBreak/>
        <w:t>Table (</w:t>
      </w:r>
      <w:r>
        <w:rPr>
          <w:rFonts w:asciiTheme="majorBidi" w:hAnsiTheme="majorBidi" w:cstheme="majorBidi"/>
          <w:sz w:val="28"/>
          <w:szCs w:val="28"/>
        </w:rPr>
        <w:t>7</w:t>
      </w:r>
      <w:r w:rsidRPr="00161ABC">
        <w:rPr>
          <w:rFonts w:asciiTheme="majorBidi" w:hAnsiTheme="majorBidi" w:cstheme="majorBidi"/>
          <w:sz w:val="28"/>
          <w:szCs w:val="28"/>
        </w:rPr>
        <w:t>): CBC among included subjects</w:t>
      </w:r>
    </w:p>
    <w:tbl>
      <w:tblPr>
        <w:tblStyle w:val="GridTable4-Accent11"/>
        <w:tblW w:w="5000" w:type="pct"/>
        <w:jc w:val="center"/>
        <w:tblLook w:val="04A0" w:firstRow="1" w:lastRow="0" w:firstColumn="1" w:lastColumn="0" w:noHBand="0" w:noVBand="1"/>
      </w:tblPr>
      <w:tblGrid>
        <w:gridCol w:w="7082"/>
        <w:gridCol w:w="2494"/>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color w:val="auto"/>
                <w:sz w:val="28"/>
                <w:szCs w:val="28"/>
              </w:rPr>
            </w:pPr>
          </w:p>
        </w:tc>
        <w:tc>
          <w:tcPr>
            <w:tcW w:w="1302" w:type="pct"/>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Value ( N = 100)</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Hb</w:t>
            </w:r>
            <w:proofErr w:type="spellEnd"/>
            <w:r w:rsidRPr="00161ABC">
              <w:rPr>
                <w:rFonts w:asciiTheme="majorBidi" w:eastAsia="Times New Roman" w:hAnsiTheme="majorBidi" w:cstheme="majorBidi"/>
                <w:sz w:val="28"/>
                <w:szCs w:val="28"/>
              </w:rPr>
              <w:t xml:space="preserve"> (g/</w:t>
            </w:r>
            <w:proofErr w:type="spellStart"/>
            <w:r w:rsidRPr="00161ABC">
              <w:rPr>
                <w:rFonts w:asciiTheme="majorBidi" w:eastAsia="Times New Roman" w:hAnsiTheme="majorBidi" w:cstheme="majorBidi"/>
                <w:sz w:val="28"/>
                <w:szCs w:val="28"/>
              </w:rPr>
              <w:t>dL</w:t>
            </w:r>
            <w:proofErr w:type="spellEnd"/>
            <w:r w:rsidRPr="00161ABC">
              <w:rPr>
                <w:rFonts w:asciiTheme="majorBidi" w:eastAsia="Times New Roman" w:hAnsiTheme="majorBidi" w:cstheme="majorBidi"/>
                <w:sz w:val="28"/>
                <w:szCs w:val="28"/>
              </w:rPr>
              <w:t>)</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11.62 ± 1.08</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11.35 (9.7-15)</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WBCs (*1000 cells/mm³)</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11.99 ± 1.04</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11.85 (9.6-16)</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RBCs (*10^9cells/mm³)</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4.48 ± 0.4</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4.4 (3.8-5.5)</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MCV (</w:t>
            </w:r>
            <w:proofErr w:type="spellStart"/>
            <w:r w:rsidRPr="00161ABC">
              <w:rPr>
                <w:rFonts w:asciiTheme="majorBidi" w:eastAsia="Times New Roman" w:hAnsiTheme="majorBidi" w:cstheme="majorBidi"/>
                <w:sz w:val="28"/>
                <w:szCs w:val="28"/>
              </w:rPr>
              <w:t>femtoliters</w:t>
            </w:r>
            <w:proofErr w:type="spellEnd"/>
            <w:r w:rsidRPr="00161ABC">
              <w:rPr>
                <w:rFonts w:asciiTheme="majorBidi" w:eastAsia="Times New Roman" w:hAnsiTheme="majorBidi" w:cstheme="majorBidi"/>
                <w:sz w:val="28"/>
                <w:szCs w:val="28"/>
              </w:rPr>
              <w:t>)</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76.13 ± 6.62</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75 (63.9-94.2)</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MCH (</w:t>
            </w:r>
            <w:proofErr w:type="spellStart"/>
            <w:r w:rsidRPr="00161ABC">
              <w:rPr>
                <w:rFonts w:asciiTheme="majorBidi" w:eastAsia="Times New Roman" w:hAnsiTheme="majorBidi" w:cstheme="majorBidi"/>
                <w:sz w:val="28"/>
                <w:szCs w:val="28"/>
              </w:rPr>
              <w:t>picograms</w:t>
            </w:r>
            <w:proofErr w:type="spellEnd"/>
            <w:r w:rsidRPr="00161ABC">
              <w:rPr>
                <w:rFonts w:asciiTheme="majorBidi" w:eastAsia="Times New Roman" w:hAnsiTheme="majorBidi" w:cstheme="majorBidi"/>
                <w:sz w:val="28"/>
                <w:szCs w:val="28"/>
              </w:rPr>
              <w:t>)</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26.67 ± 2.28</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27 (20.2-32)</w:t>
            </w:r>
          </w:p>
        </w:tc>
      </w:tr>
    </w:tbl>
    <w:p w:rsidR="00161ABC" w:rsidRDefault="00161ABC" w:rsidP="00161ABC">
      <w:pPr>
        <w:bidi w:val="0"/>
        <w:spacing w:line="360" w:lineRule="auto"/>
        <w:jc w:val="both"/>
        <w:rPr>
          <w:rFonts w:asciiTheme="majorBidi" w:hAnsiTheme="majorBidi" w:cstheme="majorBidi"/>
          <w:sz w:val="28"/>
          <w:szCs w:val="28"/>
        </w:rPr>
      </w:pPr>
      <w:r w:rsidRPr="005B04A4">
        <w:rPr>
          <w:rFonts w:asciiTheme="majorBidi" w:hAnsiTheme="majorBidi" w:cstheme="majorBidi"/>
        </w:rPr>
        <w:t>WBCs: White Blood Cells, RBCs: Red Blood Cells, MCV: Mean Corpuscular Volume, MCH: Mean Corpuscular Hemoglobin</w:t>
      </w:r>
      <w:r w:rsidR="005B04A4">
        <w:rPr>
          <w:rFonts w:asciiTheme="majorBidi" w:hAnsiTheme="majorBidi" w:cstheme="majorBidi"/>
          <w:sz w:val="28"/>
          <w:szCs w:val="28"/>
        </w:rPr>
        <w:t>.</w:t>
      </w:r>
    </w:p>
    <w:p w:rsidR="005B04A4" w:rsidRPr="00161ABC" w:rsidRDefault="005B04A4" w:rsidP="005B04A4">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7</w:t>
      </w:r>
      <w:r w:rsidRPr="00161ABC">
        <w:rPr>
          <w:rFonts w:asciiTheme="majorBidi" w:hAnsiTheme="majorBidi" w:cstheme="majorBidi"/>
          <w:sz w:val="28"/>
          <w:szCs w:val="28"/>
        </w:rPr>
        <w:t>) showed that: included subjects had normal hemoglobin levels (</w:t>
      </w:r>
      <w:proofErr w:type="spellStart"/>
      <w:r w:rsidRPr="00161ABC">
        <w:rPr>
          <w:rFonts w:asciiTheme="majorBidi" w:hAnsiTheme="majorBidi" w:cstheme="majorBidi"/>
          <w:sz w:val="28"/>
          <w:szCs w:val="28"/>
        </w:rPr>
        <w:t>Hb</w:t>
      </w:r>
      <w:proofErr w:type="spellEnd"/>
      <w:r w:rsidRPr="00161ABC">
        <w:rPr>
          <w:rFonts w:asciiTheme="majorBidi" w:hAnsiTheme="majorBidi" w:cstheme="majorBidi"/>
          <w:sz w:val="28"/>
          <w:szCs w:val="28"/>
        </w:rPr>
        <w:t>) with a mean value of 11.62 g/</w:t>
      </w:r>
      <w:proofErr w:type="spellStart"/>
      <w:r w:rsidRPr="00161ABC">
        <w:rPr>
          <w:rFonts w:asciiTheme="majorBidi" w:hAnsiTheme="majorBidi" w:cstheme="majorBidi"/>
          <w:sz w:val="28"/>
          <w:szCs w:val="28"/>
        </w:rPr>
        <w:t>dL</w:t>
      </w:r>
      <w:proofErr w:type="spellEnd"/>
      <w:r w:rsidRPr="00161ABC">
        <w:rPr>
          <w:rFonts w:asciiTheme="majorBidi" w:hAnsiTheme="majorBidi" w:cstheme="majorBidi"/>
          <w:sz w:val="28"/>
          <w:szCs w:val="28"/>
        </w:rPr>
        <w:t xml:space="preserve"> (range: 11.35-15 g/</w:t>
      </w:r>
      <w:proofErr w:type="spellStart"/>
      <w:r w:rsidRPr="00161ABC">
        <w:rPr>
          <w:rFonts w:asciiTheme="majorBidi" w:hAnsiTheme="majorBidi" w:cstheme="majorBidi"/>
          <w:sz w:val="28"/>
          <w:szCs w:val="28"/>
        </w:rPr>
        <w:t>dL</w:t>
      </w:r>
      <w:proofErr w:type="spellEnd"/>
      <w:r w:rsidRPr="00161ABC">
        <w:rPr>
          <w:rFonts w:asciiTheme="majorBidi" w:hAnsiTheme="majorBidi" w:cstheme="majorBidi"/>
          <w:sz w:val="28"/>
          <w:szCs w:val="28"/>
        </w:rPr>
        <w:t xml:space="preserve">). The white blood cell count (WBCs) was within the normal range, averaging 11.99 x 10^9/L (range: 9.6-16 x 10^9/L). Red blood cell count (RBCs) was also within the normal range, with a mean value of 4.48 x 10^12/L (range: 4.4-5.5 x 10^12/L). The mean corpuscular volume (MCV) was 76.13 </w:t>
      </w:r>
      <w:proofErr w:type="spellStart"/>
      <w:r w:rsidRPr="00161ABC">
        <w:rPr>
          <w:rFonts w:asciiTheme="majorBidi" w:hAnsiTheme="majorBidi" w:cstheme="majorBidi"/>
          <w:sz w:val="28"/>
          <w:szCs w:val="28"/>
        </w:rPr>
        <w:t>fL</w:t>
      </w:r>
      <w:proofErr w:type="spellEnd"/>
      <w:r w:rsidRPr="00161ABC">
        <w:rPr>
          <w:rFonts w:asciiTheme="majorBidi" w:hAnsiTheme="majorBidi" w:cstheme="majorBidi"/>
          <w:sz w:val="28"/>
          <w:szCs w:val="28"/>
        </w:rPr>
        <w:t xml:space="preserve"> (range: 63.9-94.2 </w:t>
      </w:r>
      <w:proofErr w:type="spellStart"/>
      <w:r w:rsidRPr="00161ABC">
        <w:rPr>
          <w:rFonts w:asciiTheme="majorBidi" w:hAnsiTheme="majorBidi" w:cstheme="majorBidi"/>
          <w:sz w:val="28"/>
          <w:szCs w:val="28"/>
        </w:rPr>
        <w:t>fL</w:t>
      </w:r>
      <w:proofErr w:type="spellEnd"/>
      <w:r w:rsidRPr="00161ABC">
        <w:rPr>
          <w:rFonts w:asciiTheme="majorBidi" w:hAnsiTheme="majorBidi" w:cstheme="majorBidi"/>
          <w:sz w:val="28"/>
          <w:szCs w:val="28"/>
        </w:rPr>
        <w:t xml:space="preserve">), indicating normal cell size. Similarly, the mean corpuscular hemoglobin (MCH) was 26.67 </w:t>
      </w:r>
      <w:proofErr w:type="spellStart"/>
      <w:r w:rsidRPr="00161ABC">
        <w:rPr>
          <w:rFonts w:asciiTheme="majorBidi" w:hAnsiTheme="majorBidi" w:cstheme="majorBidi"/>
          <w:sz w:val="28"/>
          <w:szCs w:val="28"/>
        </w:rPr>
        <w:t>pg</w:t>
      </w:r>
      <w:proofErr w:type="spellEnd"/>
      <w:r w:rsidRPr="00161ABC">
        <w:rPr>
          <w:rFonts w:asciiTheme="majorBidi" w:hAnsiTheme="majorBidi" w:cstheme="majorBidi"/>
          <w:sz w:val="28"/>
          <w:szCs w:val="28"/>
        </w:rPr>
        <w:t xml:space="preserve"> (range: 20.2-32 </w:t>
      </w:r>
      <w:proofErr w:type="spellStart"/>
      <w:r w:rsidRPr="00161ABC">
        <w:rPr>
          <w:rFonts w:asciiTheme="majorBidi" w:hAnsiTheme="majorBidi" w:cstheme="majorBidi"/>
          <w:sz w:val="28"/>
          <w:szCs w:val="28"/>
        </w:rPr>
        <w:t>pg</w:t>
      </w:r>
      <w:proofErr w:type="spellEnd"/>
      <w:r w:rsidRPr="00161ABC">
        <w:rPr>
          <w:rFonts w:asciiTheme="majorBidi" w:hAnsiTheme="majorBidi" w:cstheme="majorBidi"/>
          <w:sz w:val="28"/>
          <w:szCs w:val="28"/>
        </w:rPr>
        <w:t>), representing a typical amount of hemoglobin per red blood cell.</w:t>
      </w:r>
    </w:p>
    <w:p w:rsidR="00161ABC" w:rsidRDefault="00161ABC" w:rsidP="00161ABC">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Pr="00161ABC" w:rsidRDefault="005B04A4" w:rsidP="005B04A4">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lastRenderedPageBreak/>
        <w:t>Table (</w:t>
      </w:r>
      <w:r>
        <w:rPr>
          <w:rFonts w:asciiTheme="majorBidi" w:hAnsiTheme="majorBidi" w:cstheme="majorBidi"/>
          <w:sz w:val="28"/>
          <w:szCs w:val="28"/>
        </w:rPr>
        <w:t>8</w:t>
      </w:r>
      <w:r w:rsidRPr="00161ABC">
        <w:rPr>
          <w:rFonts w:asciiTheme="majorBidi" w:hAnsiTheme="majorBidi" w:cstheme="majorBidi"/>
          <w:sz w:val="28"/>
          <w:szCs w:val="28"/>
        </w:rPr>
        <w:t>): ABG among included subjects</w:t>
      </w:r>
    </w:p>
    <w:tbl>
      <w:tblPr>
        <w:tblStyle w:val="GridTable4-Accent11"/>
        <w:tblW w:w="5048" w:type="pct"/>
        <w:jc w:val="center"/>
        <w:tblLook w:val="04A0" w:firstRow="1" w:lastRow="0" w:firstColumn="1" w:lastColumn="0" w:noHBand="0" w:noVBand="1"/>
      </w:tblPr>
      <w:tblGrid>
        <w:gridCol w:w="7150"/>
        <w:gridCol w:w="2518"/>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color w:val="auto"/>
                <w:sz w:val="28"/>
                <w:szCs w:val="28"/>
              </w:rPr>
            </w:pPr>
          </w:p>
        </w:tc>
        <w:tc>
          <w:tcPr>
            <w:tcW w:w="1302" w:type="pct"/>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Value ( N = 100)</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PH</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7.36 ± 0.05</w:t>
            </w:r>
          </w:p>
        </w:tc>
      </w:tr>
      <w:tr w:rsidR="00161ABC" w:rsidRPr="00161ABC" w:rsidTr="005B04A4">
        <w:trPr>
          <w:trHeight w:val="243"/>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7.35 (7.25-7.45)</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PaO2 (mmHg)</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88.4 ± 6.86</w:t>
            </w:r>
          </w:p>
        </w:tc>
      </w:tr>
      <w:tr w:rsidR="00161ABC" w:rsidRPr="00161ABC" w:rsidTr="005B04A4">
        <w:trPr>
          <w:trHeight w:val="243"/>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88 (72-113)</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PaCO2 (mmHg)</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37.62 ± 2.44</w:t>
            </w:r>
          </w:p>
        </w:tc>
      </w:tr>
      <w:tr w:rsidR="00161ABC" w:rsidRPr="00161ABC" w:rsidTr="005B04A4">
        <w:trPr>
          <w:trHeight w:val="243"/>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37.9 (32.3-44.3)</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HCO3 (</w:t>
            </w:r>
            <w:proofErr w:type="spellStart"/>
            <w:r w:rsidRPr="00161ABC">
              <w:rPr>
                <w:rFonts w:asciiTheme="majorBidi" w:hAnsiTheme="majorBidi" w:cstheme="majorBidi"/>
                <w:sz w:val="28"/>
                <w:szCs w:val="28"/>
              </w:rPr>
              <w:t>mEq</w:t>
            </w:r>
            <w:proofErr w:type="spellEnd"/>
            <w:r w:rsidRPr="00161ABC">
              <w:rPr>
                <w:rFonts w:asciiTheme="majorBidi" w:hAnsiTheme="majorBidi" w:cstheme="majorBidi"/>
                <w:sz w:val="28"/>
                <w:szCs w:val="28"/>
              </w:rPr>
              <w:t>/L</w:t>
            </w:r>
            <w:r w:rsidRPr="00161ABC">
              <w:rPr>
                <w:rFonts w:asciiTheme="majorBidi" w:eastAsia="Times New Roman" w:hAnsiTheme="majorBidi" w:cstheme="majorBidi"/>
                <w:sz w:val="28"/>
                <w:szCs w:val="28"/>
              </w:rPr>
              <w:t>)</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22.95 ± 2.24</w:t>
            </w:r>
          </w:p>
        </w:tc>
      </w:tr>
      <w:tr w:rsidR="00161ABC" w:rsidRPr="00161ABC" w:rsidTr="005B04A4">
        <w:trPr>
          <w:trHeight w:val="243"/>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22.9 (18.5-28.3)</w:t>
            </w:r>
          </w:p>
        </w:tc>
      </w:tr>
    </w:tbl>
    <w:p w:rsidR="00161ABC" w:rsidRDefault="00161ABC" w:rsidP="00161ABC">
      <w:pPr>
        <w:bidi w:val="0"/>
        <w:spacing w:line="360" w:lineRule="auto"/>
        <w:jc w:val="both"/>
        <w:rPr>
          <w:rFonts w:asciiTheme="majorBidi" w:eastAsia="Times New Roman" w:hAnsiTheme="majorBidi" w:cstheme="majorBidi"/>
        </w:rPr>
      </w:pPr>
      <w:r w:rsidRPr="005B04A4">
        <w:rPr>
          <w:rFonts w:asciiTheme="majorBidi" w:eastAsia="Times New Roman" w:hAnsiTheme="majorBidi" w:cstheme="majorBidi"/>
        </w:rPr>
        <w:t xml:space="preserve">PaO2: </w:t>
      </w:r>
      <w:r w:rsidRPr="005B04A4">
        <w:rPr>
          <w:rFonts w:asciiTheme="majorBidi" w:hAnsiTheme="majorBidi" w:cstheme="majorBidi"/>
        </w:rPr>
        <w:t xml:space="preserve">Partial </w:t>
      </w:r>
      <w:r w:rsidRPr="005B04A4">
        <w:rPr>
          <w:rFonts w:asciiTheme="majorBidi" w:eastAsia="Times New Roman" w:hAnsiTheme="majorBidi" w:cstheme="majorBidi"/>
        </w:rPr>
        <w:t>Pressure of Oxygen, PaCO2: Partial Pressure of Carbon Dioxide, HCO3: Bicarbonate</w:t>
      </w:r>
    </w:p>
    <w:p w:rsidR="005B04A4" w:rsidRPr="005B04A4" w:rsidRDefault="005B04A4" w:rsidP="005B04A4">
      <w:pPr>
        <w:bidi w:val="0"/>
        <w:spacing w:line="360" w:lineRule="auto"/>
        <w:jc w:val="both"/>
        <w:rPr>
          <w:rFonts w:asciiTheme="majorBidi" w:eastAsia="Times New Roman" w:hAnsiTheme="majorBidi" w:cstheme="majorBidi"/>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8</w:t>
      </w:r>
      <w:r w:rsidRPr="00161ABC">
        <w:rPr>
          <w:rFonts w:asciiTheme="majorBidi" w:hAnsiTheme="majorBidi" w:cstheme="majorBidi"/>
          <w:sz w:val="28"/>
          <w:szCs w:val="28"/>
        </w:rPr>
        <w:t xml:space="preserve">) showed that: the subjects had a slightly alkaline pH level, with a mean of 7.36 (range: 7.25-7.45), indicating normal acid-base balance. The partial pressure of oxygen (PaO2) was 88.4 mmHg (range: 72-113 mmHg), within the expected range for oxygen saturation. The partial pressure of carbon dioxide (PaCO2) averaged 37.62 mmHg (range: 32.3-44.3 mmHg), reflecting appropriate elimination of carbon dioxide. Bicarbonate (HCO3) levels were 22.95 </w:t>
      </w:r>
      <w:proofErr w:type="spellStart"/>
      <w:r w:rsidRPr="00161ABC">
        <w:rPr>
          <w:rFonts w:asciiTheme="majorBidi" w:hAnsiTheme="majorBidi" w:cstheme="majorBidi"/>
          <w:sz w:val="28"/>
          <w:szCs w:val="28"/>
        </w:rPr>
        <w:t>mEq</w:t>
      </w:r>
      <w:proofErr w:type="spellEnd"/>
      <w:r w:rsidRPr="00161ABC">
        <w:rPr>
          <w:rFonts w:asciiTheme="majorBidi" w:hAnsiTheme="majorBidi" w:cstheme="majorBidi"/>
          <w:sz w:val="28"/>
          <w:szCs w:val="28"/>
        </w:rPr>
        <w:t xml:space="preserve">/L (range: 18.5-28.3 </w:t>
      </w:r>
      <w:proofErr w:type="spellStart"/>
      <w:r w:rsidRPr="00161ABC">
        <w:rPr>
          <w:rFonts w:asciiTheme="majorBidi" w:hAnsiTheme="majorBidi" w:cstheme="majorBidi"/>
          <w:sz w:val="28"/>
          <w:szCs w:val="28"/>
        </w:rPr>
        <w:t>mEq</w:t>
      </w:r>
      <w:proofErr w:type="spellEnd"/>
      <w:r w:rsidRPr="00161ABC">
        <w:rPr>
          <w:rFonts w:asciiTheme="majorBidi" w:hAnsiTheme="majorBidi" w:cstheme="majorBidi"/>
          <w:sz w:val="28"/>
          <w:szCs w:val="28"/>
        </w:rPr>
        <w:t>/L), indicating normal bicarbonate buffering capacity.</w:t>
      </w:r>
    </w:p>
    <w:p w:rsidR="00161ABC" w:rsidRPr="00161ABC" w:rsidRDefault="00161ABC" w:rsidP="00161ABC">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Pr="00161ABC" w:rsidRDefault="005B04A4" w:rsidP="005B04A4">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lastRenderedPageBreak/>
        <w:t>Table (</w:t>
      </w:r>
      <w:r>
        <w:rPr>
          <w:rFonts w:asciiTheme="majorBidi" w:hAnsiTheme="majorBidi" w:cstheme="majorBidi"/>
          <w:sz w:val="28"/>
          <w:szCs w:val="28"/>
        </w:rPr>
        <w:t>9</w:t>
      </w:r>
      <w:r w:rsidRPr="00161ABC">
        <w:rPr>
          <w:rFonts w:asciiTheme="majorBidi" w:hAnsiTheme="majorBidi" w:cstheme="majorBidi"/>
          <w:sz w:val="28"/>
          <w:szCs w:val="28"/>
        </w:rPr>
        <w:t xml:space="preserve">): Kidney and liver function among included </w:t>
      </w:r>
      <w:proofErr w:type="spellStart"/>
      <w:r w:rsidRPr="00161ABC">
        <w:rPr>
          <w:rFonts w:asciiTheme="majorBidi" w:hAnsiTheme="majorBidi" w:cstheme="majorBidi"/>
          <w:sz w:val="28"/>
          <w:szCs w:val="28"/>
        </w:rPr>
        <w:t>subejcst</w:t>
      </w:r>
      <w:proofErr w:type="spellEnd"/>
    </w:p>
    <w:tbl>
      <w:tblPr>
        <w:tblStyle w:val="GridTable4-Accent11"/>
        <w:tblW w:w="5000" w:type="pct"/>
        <w:jc w:val="center"/>
        <w:tblLook w:val="04A0" w:firstRow="1" w:lastRow="0" w:firstColumn="1" w:lastColumn="0" w:noHBand="0" w:noVBand="1"/>
      </w:tblPr>
      <w:tblGrid>
        <w:gridCol w:w="7082"/>
        <w:gridCol w:w="2494"/>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color w:val="auto"/>
                <w:sz w:val="28"/>
                <w:szCs w:val="28"/>
              </w:rPr>
            </w:pPr>
          </w:p>
        </w:tc>
        <w:tc>
          <w:tcPr>
            <w:tcW w:w="1302" w:type="pct"/>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Value ( N = 100)</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Renal function</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ind w:left="883"/>
              <w:jc w:val="both"/>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Creatinine</w:t>
            </w:r>
            <w:proofErr w:type="spellEnd"/>
            <w:r w:rsidRPr="00161ABC">
              <w:rPr>
                <w:rFonts w:asciiTheme="majorBidi" w:eastAsia="Times New Roman" w:hAnsiTheme="majorBidi" w:cstheme="majorBidi"/>
                <w:sz w:val="28"/>
                <w:szCs w:val="28"/>
              </w:rPr>
              <w:t xml:space="preserve"> (</w:t>
            </w:r>
            <w:r w:rsidRPr="00161ABC">
              <w:rPr>
                <w:rFonts w:asciiTheme="majorBidi" w:hAnsiTheme="majorBidi" w:cstheme="majorBidi"/>
                <w:sz w:val="28"/>
                <w:szCs w:val="28"/>
              </w:rPr>
              <w:t>mg/</w:t>
            </w:r>
            <w:proofErr w:type="spellStart"/>
            <w:r w:rsidRPr="00161ABC">
              <w:rPr>
                <w:rFonts w:asciiTheme="majorBidi" w:hAnsiTheme="majorBidi" w:cstheme="majorBidi"/>
                <w:sz w:val="28"/>
                <w:szCs w:val="28"/>
              </w:rPr>
              <w:t>dL</w:t>
            </w:r>
            <w:proofErr w:type="spellEnd"/>
            <w:r w:rsidRPr="00161ABC">
              <w:rPr>
                <w:rFonts w:asciiTheme="majorBidi" w:eastAsia="Times New Roman" w:hAnsiTheme="majorBidi" w:cstheme="majorBidi"/>
                <w:sz w:val="28"/>
                <w:szCs w:val="28"/>
              </w:rPr>
              <w:t>)</w:t>
            </w: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0.47 ± 0.08</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ind w:left="883"/>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0.47 (0.38-0.78)</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ind w:left="883"/>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Urea (</w:t>
            </w:r>
            <w:r w:rsidRPr="00161ABC">
              <w:rPr>
                <w:rFonts w:asciiTheme="majorBidi" w:hAnsiTheme="majorBidi" w:cstheme="majorBidi"/>
                <w:sz w:val="28"/>
                <w:szCs w:val="28"/>
              </w:rPr>
              <w:t>mg/</w:t>
            </w:r>
            <w:proofErr w:type="spellStart"/>
            <w:r w:rsidRPr="00161ABC">
              <w:rPr>
                <w:rFonts w:asciiTheme="majorBidi" w:hAnsiTheme="majorBidi" w:cstheme="majorBidi"/>
                <w:sz w:val="28"/>
                <w:szCs w:val="28"/>
              </w:rPr>
              <w:t>dL</w:t>
            </w:r>
            <w:proofErr w:type="spellEnd"/>
            <w:r w:rsidRPr="00161ABC">
              <w:rPr>
                <w:rFonts w:asciiTheme="majorBidi" w:eastAsia="Times New Roman" w:hAnsiTheme="majorBidi" w:cstheme="majorBidi"/>
                <w:sz w:val="28"/>
                <w:szCs w:val="28"/>
              </w:rPr>
              <w:t>)</w:t>
            </w: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12.69 ± 3.11</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ind w:left="883"/>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11.8 (8-21)</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Liver function</w:t>
            </w: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ind w:left="973"/>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ALT (U/L)</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25.01 ± 5.24</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ind w:left="973"/>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24 (12-37)</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ind w:left="973"/>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AST (U/L)</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28.5 ± 6.39</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ind w:left="973"/>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29 (17-43)</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ind w:left="973"/>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Total Bilirubin (</w:t>
            </w:r>
            <w:r w:rsidRPr="00161ABC">
              <w:rPr>
                <w:rFonts w:asciiTheme="majorBidi" w:hAnsiTheme="majorBidi" w:cstheme="majorBidi"/>
                <w:sz w:val="28"/>
                <w:szCs w:val="28"/>
              </w:rPr>
              <w:t>mg/</w:t>
            </w:r>
            <w:proofErr w:type="spellStart"/>
            <w:r w:rsidRPr="00161ABC">
              <w:rPr>
                <w:rFonts w:asciiTheme="majorBidi" w:hAnsiTheme="majorBidi" w:cstheme="majorBidi"/>
                <w:sz w:val="28"/>
                <w:szCs w:val="28"/>
              </w:rPr>
              <w:t>dL</w:t>
            </w:r>
            <w:proofErr w:type="spellEnd"/>
            <w:r w:rsidRPr="00161ABC">
              <w:rPr>
                <w:rFonts w:asciiTheme="majorBidi" w:eastAsia="Times New Roman" w:hAnsiTheme="majorBidi" w:cstheme="majorBidi"/>
                <w:sz w:val="28"/>
                <w:szCs w:val="28"/>
              </w:rPr>
              <w:t>)</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16.06 ± 2.74</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ind w:left="973"/>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16 (9-21)</w:t>
            </w:r>
          </w:p>
        </w:tc>
      </w:tr>
    </w:tbl>
    <w:p w:rsidR="00161ABC" w:rsidRDefault="00161ABC" w:rsidP="00161ABC">
      <w:pPr>
        <w:bidi w:val="0"/>
        <w:spacing w:line="360" w:lineRule="auto"/>
        <w:jc w:val="both"/>
        <w:rPr>
          <w:rFonts w:asciiTheme="majorBidi" w:hAnsiTheme="majorBidi" w:cstheme="majorBidi"/>
        </w:rPr>
      </w:pPr>
      <w:r w:rsidRPr="005B04A4">
        <w:rPr>
          <w:rFonts w:asciiTheme="majorBidi" w:hAnsiTheme="majorBidi" w:cstheme="majorBidi"/>
        </w:rPr>
        <w:t>ALT: Alanine Aminotransferase, AST: Aspartate Aminotransferase</w:t>
      </w:r>
    </w:p>
    <w:p w:rsidR="005B04A4" w:rsidRPr="005B04A4" w:rsidRDefault="005B04A4" w:rsidP="005B04A4">
      <w:pPr>
        <w:bidi w:val="0"/>
        <w:spacing w:line="360" w:lineRule="auto"/>
        <w:jc w:val="both"/>
        <w:rPr>
          <w:rFonts w:asciiTheme="majorBidi" w:hAnsiTheme="majorBidi" w:cstheme="majorBidi"/>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9</w:t>
      </w:r>
      <w:r w:rsidRPr="00161ABC">
        <w:rPr>
          <w:rFonts w:asciiTheme="majorBidi" w:hAnsiTheme="majorBidi" w:cstheme="majorBidi"/>
          <w:sz w:val="28"/>
          <w:szCs w:val="28"/>
        </w:rPr>
        <w:t xml:space="preserve">) showed that: the subjects had normal levels of </w:t>
      </w:r>
      <w:proofErr w:type="spellStart"/>
      <w:r w:rsidRPr="00161ABC">
        <w:rPr>
          <w:rFonts w:asciiTheme="majorBidi" w:hAnsiTheme="majorBidi" w:cstheme="majorBidi"/>
          <w:sz w:val="28"/>
          <w:szCs w:val="28"/>
        </w:rPr>
        <w:t>creatinine</w:t>
      </w:r>
      <w:proofErr w:type="spellEnd"/>
      <w:r w:rsidRPr="00161ABC">
        <w:rPr>
          <w:rFonts w:asciiTheme="majorBidi" w:hAnsiTheme="majorBidi" w:cstheme="majorBidi"/>
          <w:sz w:val="28"/>
          <w:szCs w:val="28"/>
        </w:rPr>
        <w:t>, with a mean value of 0.47 mg/</w:t>
      </w:r>
      <w:proofErr w:type="spellStart"/>
      <w:r w:rsidRPr="00161ABC">
        <w:rPr>
          <w:rFonts w:asciiTheme="majorBidi" w:hAnsiTheme="majorBidi" w:cstheme="majorBidi"/>
          <w:sz w:val="28"/>
          <w:szCs w:val="28"/>
        </w:rPr>
        <w:t>dL</w:t>
      </w:r>
      <w:proofErr w:type="spellEnd"/>
      <w:r w:rsidRPr="00161ABC">
        <w:rPr>
          <w:rFonts w:asciiTheme="majorBidi" w:hAnsiTheme="majorBidi" w:cstheme="majorBidi"/>
          <w:sz w:val="28"/>
          <w:szCs w:val="28"/>
        </w:rPr>
        <w:t xml:space="preserve"> (range: 0.38-0.78 mg/</w:t>
      </w:r>
      <w:proofErr w:type="spellStart"/>
      <w:r w:rsidRPr="00161ABC">
        <w:rPr>
          <w:rFonts w:asciiTheme="majorBidi" w:hAnsiTheme="majorBidi" w:cstheme="majorBidi"/>
          <w:sz w:val="28"/>
          <w:szCs w:val="28"/>
        </w:rPr>
        <w:t>dL</w:t>
      </w:r>
      <w:proofErr w:type="spellEnd"/>
      <w:r w:rsidRPr="00161ABC">
        <w:rPr>
          <w:rFonts w:asciiTheme="majorBidi" w:hAnsiTheme="majorBidi" w:cstheme="majorBidi"/>
          <w:sz w:val="28"/>
          <w:szCs w:val="28"/>
        </w:rPr>
        <w:t>). The blood urea nitrogen (BUN) levels, represented by urea, were within the normal range, averaging 12.69 mg/</w:t>
      </w:r>
      <w:proofErr w:type="spellStart"/>
      <w:r w:rsidRPr="00161ABC">
        <w:rPr>
          <w:rFonts w:asciiTheme="majorBidi" w:hAnsiTheme="majorBidi" w:cstheme="majorBidi"/>
          <w:sz w:val="28"/>
          <w:szCs w:val="28"/>
        </w:rPr>
        <w:t>dL</w:t>
      </w:r>
      <w:proofErr w:type="spellEnd"/>
      <w:r w:rsidRPr="00161ABC">
        <w:rPr>
          <w:rFonts w:asciiTheme="majorBidi" w:hAnsiTheme="majorBidi" w:cstheme="majorBidi"/>
          <w:sz w:val="28"/>
          <w:szCs w:val="28"/>
        </w:rPr>
        <w:t xml:space="preserve"> (range: 8-21 mg/</w:t>
      </w:r>
      <w:proofErr w:type="spellStart"/>
      <w:r w:rsidRPr="00161ABC">
        <w:rPr>
          <w:rFonts w:asciiTheme="majorBidi" w:hAnsiTheme="majorBidi" w:cstheme="majorBidi"/>
          <w:sz w:val="28"/>
          <w:szCs w:val="28"/>
        </w:rPr>
        <w:t>dL</w:t>
      </w:r>
      <w:proofErr w:type="spellEnd"/>
      <w:r w:rsidRPr="00161ABC">
        <w:rPr>
          <w:rFonts w:asciiTheme="majorBidi" w:hAnsiTheme="majorBidi" w:cstheme="majorBidi"/>
          <w:sz w:val="28"/>
          <w:szCs w:val="28"/>
        </w:rPr>
        <w:t xml:space="preserve">). The liver function tests demonstrated normal enzyme levels, as indicated by the mean values of alanine aminotransferase (ALT) at 25.01 U/L (range: 12-37 U/L) and aspartate aminotransferase (AST) at 28.5 U/L (range: 17-43 U/L). Total bilirubin levels were 16.06 </w:t>
      </w:r>
      <w:proofErr w:type="spellStart"/>
      <w:r w:rsidRPr="00161ABC">
        <w:rPr>
          <w:rFonts w:asciiTheme="majorBidi" w:hAnsiTheme="majorBidi" w:cstheme="majorBidi"/>
          <w:sz w:val="28"/>
          <w:szCs w:val="28"/>
        </w:rPr>
        <w:t>μmol</w:t>
      </w:r>
      <w:proofErr w:type="spellEnd"/>
      <w:r w:rsidRPr="00161ABC">
        <w:rPr>
          <w:rFonts w:asciiTheme="majorBidi" w:hAnsiTheme="majorBidi" w:cstheme="majorBidi"/>
          <w:sz w:val="28"/>
          <w:szCs w:val="28"/>
        </w:rPr>
        <w:t xml:space="preserve">/L (range: 9-21 </w:t>
      </w:r>
      <w:proofErr w:type="spellStart"/>
      <w:r w:rsidRPr="00161ABC">
        <w:rPr>
          <w:rFonts w:asciiTheme="majorBidi" w:hAnsiTheme="majorBidi" w:cstheme="majorBidi"/>
          <w:sz w:val="28"/>
          <w:szCs w:val="28"/>
        </w:rPr>
        <w:t>μmol</w:t>
      </w:r>
      <w:proofErr w:type="spellEnd"/>
      <w:r w:rsidRPr="00161ABC">
        <w:rPr>
          <w:rFonts w:asciiTheme="majorBidi" w:hAnsiTheme="majorBidi" w:cstheme="majorBidi"/>
          <w:sz w:val="28"/>
          <w:szCs w:val="28"/>
        </w:rPr>
        <w:t>/L), indicating normal liver metabolism.</w:t>
      </w:r>
    </w:p>
    <w:p w:rsidR="00161ABC" w:rsidRPr="00161ABC" w:rsidRDefault="00161ABC" w:rsidP="00161ABC">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noProof/>
          <w:sz w:val="28"/>
          <w:szCs w:val="28"/>
        </w:rPr>
        <w:lastRenderedPageBreak/>
        <w:drawing>
          <wp:inline distT="0" distB="0" distL="0" distR="0" wp14:anchorId="7C28CDE4" wp14:editId="446FA561">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Figure (</w:t>
      </w:r>
      <w:r>
        <w:rPr>
          <w:rFonts w:asciiTheme="majorBidi" w:hAnsiTheme="majorBidi" w:cstheme="majorBidi"/>
          <w:sz w:val="28"/>
          <w:szCs w:val="28"/>
        </w:rPr>
        <w:t>4</w:t>
      </w:r>
      <w:r w:rsidRPr="00161ABC">
        <w:rPr>
          <w:rFonts w:asciiTheme="majorBidi" w:hAnsiTheme="majorBidi" w:cstheme="majorBidi"/>
          <w:sz w:val="28"/>
          <w:szCs w:val="28"/>
        </w:rPr>
        <w:t>): ALT and AST among subjects</w:t>
      </w:r>
    </w:p>
    <w:p w:rsidR="00161ABC" w:rsidRDefault="00161ABC" w:rsidP="00161ABC">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Pr="00161ABC" w:rsidRDefault="005B04A4" w:rsidP="005B04A4">
      <w:pPr>
        <w:bidi w:val="0"/>
        <w:spacing w:line="360" w:lineRule="auto"/>
        <w:jc w:val="both"/>
        <w:rPr>
          <w:rFonts w:asciiTheme="majorBidi" w:hAnsiTheme="majorBidi" w:cstheme="majorBidi"/>
          <w:sz w:val="28"/>
          <w:szCs w:val="28"/>
        </w:rPr>
      </w:pPr>
    </w:p>
    <w:p w:rsidR="00161ABC" w:rsidRDefault="00161ABC" w:rsidP="00161ABC">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Pr="00161ABC" w:rsidRDefault="005B04A4" w:rsidP="005B04A4">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lastRenderedPageBreak/>
        <w:t>Table (</w:t>
      </w:r>
      <w:r>
        <w:rPr>
          <w:rFonts w:asciiTheme="majorBidi" w:hAnsiTheme="majorBidi" w:cstheme="majorBidi"/>
          <w:sz w:val="28"/>
          <w:szCs w:val="28"/>
        </w:rPr>
        <w:t>10</w:t>
      </w:r>
      <w:r w:rsidRPr="00161ABC">
        <w:rPr>
          <w:rFonts w:asciiTheme="majorBidi" w:hAnsiTheme="majorBidi" w:cstheme="majorBidi"/>
          <w:sz w:val="28"/>
          <w:szCs w:val="28"/>
        </w:rPr>
        <w:t>): Electrolyte measurements among included subjects</w:t>
      </w:r>
    </w:p>
    <w:tbl>
      <w:tblPr>
        <w:tblStyle w:val="GridTable4-Accent11"/>
        <w:tblW w:w="5000" w:type="pct"/>
        <w:jc w:val="center"/>
        <w:tblLook w:val="04A0" w:firstRow="1" w:lastRow="0" w:firstColumn="1" w:lastColumn="0" w:noHBand="0" w:noVBand="1"/>
      </w:tblPr>
      <w:tblGrid>
        <w:gridCol w:w="7082"/>
        <w:gridCol w:w="2494"/>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color w:val="auto"/>
                <w:sz w:val="28"/>
                <w:szCs w:val="28"/>
              </w:rPr>
            </w:pPr>
          </w:p>
        </w:tc>
        <w:tc>
          <w:tcPr>
            <w:tcW w:w="1302" w:type="pct"/>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Value ( N = 100)</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Na (</w:t>
            </w:r>
            <w:proofErr w:type="spellStart"/>
            <w:r w:rsidRPr="00161ABC">
              <w:rPr>
                <w:rFonts w:asciiTheme="majorBidi" w:hAnsiTheme="majorBidi" w:cstheme="majorBidi"/>
                <w:sz w:val="28"/>
                <w:szCs w:val="28"/>
              </w:rPr>
              <w:t>mEq</w:t>
            </w:r>
            <w:proofErr w:type="spellEnd"/>
            <w:r w:rsidRPr="00161ABC">
              <w:rPr>
                <w:rFonts w:asciiTheme="majorBidi" w:hAnsiTheme="majorBidi" w:cstheme="majorBidi"/>
                <w:sz w:val="28"/>
                <w:szCs w:val="28"/>
              </w:rPr>
              <w:t>/L</w:t>
            </w:r>
            <w:r w:rsidRPr="00161ABC">
              <w:rPr>
                <w:rFonts w:asciiTheme="majorBidi" w:eastAsia="Times New Roman" w:hAnsiTheme="majorBidi" w:cstheme="majorBidi"/>
                <w:sz w:val="28"/>
                <w:szCs w:val="28"/>
              </w:rPr>
              <w:t>)</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142.66 ± 11.91</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143 (109-173)</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K (</w:t>
            </w:r>
            <w:proofErr w:type="spellStart"/>
            <w:r w:rsidRPr="00161ABC">
              <w:rPr>
                <w:rFonts w:asciiTheme="majorBidi" w:hAnsiTheme="majorBidi" w:cstheme="majorBidi"/>
                <w:sz w:val="28"/>
                <w:szCs w:val="28"/>
              </w:rPr>
              <w:t>mEq</w:t>
            </w:r>
            <w:proofErr w:type="spellEnd"/>
            <w:r w:rsidRPr="00161ABC">
              <w:rPr>
                <w:rFonts w:asciiTheme="majorBidi" w:hAnsiTheme="majorBidi" w:cstheme="majorBidi"/>
                <w:sz w:val="28"/>
                <w:szCs w:val="28"/>
              </w:rPr>
              <w:t>/L</w:t>
            </w:r>
            <w:r w:rsidRPr="00161ABC">
              <w:rPr>
                <w:rFonts w:asciiTheme="majorBidi" w:eastAsia="Times New Roman" w:hAnsiTheme="majorBidi" w:cstheme="majorBidi"/>
                <w:sz w:val="28"/>
                <w:szCs w:val="28"/>
              </w:rPr>
              <w:t>)</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4.21 ± 0.31</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4.2 (3.5-4.9)</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Ca</w:t>
            </w:r>
            <w:proofErr w:type="spellEnd"/>
            <w:r w:rsidRPr="00161ABC">
              <w:rPr>
                <w:rFonts w:asciiTheme="majorBidi" w:eastAsia="Times New Roman" w:hAnsiTheme="majorBidi" w:cstheme="majorBidi"/>
                <w:sz w:val="28"/>
                <w:szCs w:val="28"/>
              </w:rPr>
              <w:t xml:space="preserve"> (</w:t>
            </w:r>
            <w:proofErr w:type="spellStart"/>
            <w:r w:rsidRPr="00161ABC">
              <w:rPr>
                <w:rFonts w:asciiTheme="majorBidi" w:hAnsiTheme="majorBidi" w:cstheme="majorBidi"/>
                <w:sz w:val="28"/>
                <w:szCs w:val="28"/>
              </w:rPr>
              <w:t>mEq</w:t>
            </w:r>
            <w:proofErr w:type="spellEnd"/>
            <w:r w:rsidRPr="00161ABC">
              <w:rPr>
                <w:rFonts w:asciiTheme="majorBidi" w:hAnsiTheme="majorBidi" w:cstheme="majorBidi"/>
                <w:sz w:val="28"/>
                <w:szCs w:val="28"/>
              </w:rPr>
              <w:t>/L</w:t>
            </w:r>
            <w:r w:rsidRPr="00161ABC">
              <w:rPr>
                <w:rFonts w:asciiTheme="majorBidi" w:eastAsia="Times New Roman" w:hAnsiTheme="majorBidi" w:cstheme="majorBidi"/>
                <w:sz w:val="28"/>
                <w:szCs w:val="28"/>
              </w:rPr>
              <w:t>)</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1.17 ± 0.08</w:t>
            </w:r>
          </w:p>
        </w:tc>
      </w:tr>
      <w:tr w:rsidR="005B04A4"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1.17 (0.94-1.4)</w:t>
            </w:r>
          </w:p>
        </w:tc>
      </w:tr>
    </w:tbl>
    <w:p w:rsidR="005B04A4" w:rsidRDefault="00161ABC" w:rsidP="005B04A4">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10</w:t>
      </w:r>
      <w:r w:rsidRPr="00161ABC">
        <w:rPr>
          <w:rFonts w:asciiTheme="majorBidi" w:hAnsiTheme="majorBidi" w:cstheme="majorBidi"/>
          <w:sz w:val="28"/>
          <w:szCs w:val="28"/>
        </w:rPr>
        <w:t xml:space="preserve">) showed that: the subjects had normal sodium levels, with a mean </w:t>
      </w:r>
      <w:proofErr w:type="gramStart"/>
      <w:r w:rsidRPr="00161ABC">
        <w:rPr>
          <w:rFonts w:asciiTheme="majorBidi" w:hAnsiTheme="majorBidi" w:cstheme="majorBidi"/>
          <w:sz w:val="28"/>
          <w:szCs w:val="28"/>
        </w:rPr>
        <w:t xml:space="preserve">of 142.66 </w:t>
      </w:r>
      <w:proofErr w:type="spellStart"/>
      <w:r w:rsidRPr="00161ABC">
        <w:rPr>
          <w:rFonts w:asciiTheme="majorBidi" w:hAnsiTheme="majorBidi" w:cstheme="majorBidi"/>
          <w:sz w:val="28"/>
          <w:szCs w:val="28"/>
        </w:rPr>
        <w:t>mEq</w:t>
      </w:r>
      <w:proofErr w:type="spellEnd"/>
      <w:r w:rsidRPr="00161ABC">
        <w:rPr>
          <w:rFonts w:asciiTheme="majorBidi" w:hAnsiTheme="majorBidi" w:cstheme="majorBidi"/>
          <w:sz w:val="28"/>
          <w:szCs w:val="28"/>
        </w:rPr>
        <w:t>/L</w:t>
      </w:r>
      <w:proofErr w:type="gramEnd"/>
      <w:r w:rsidRPr="00161ABC">
        <w:rPr>
          <w:rFonts w:asciiTheme="majorBidi" w:hAnsiTheme="majorBidi" w:cstheme="majorBidi"/>
          <w:sz w:val="28"/>
          <w:szCs w:val="28"/>
        </w:rPr>
        <w:t xml:space="preserve"> (range: 109-173 </w:t>
      </w:r>
      <w:proofErr w:type="spellStart"/>
      <w:r w:rsidRPr="00161ABC">
        <w:rPr>
          <w:rFonts w:asciiTheme="majorBidi" w:hAnsiTheme="majorBidi" w:cstheme="majorBidi"/>
          <w:sz w:val="28"/>
          <w:szCs w:val="28"/>
        </w:rPr>
        <w:t>mEq</w:t>
      </w:r>
      <w:proofErr w:type="spellEnd"/>
      <w:r w:rsidRPr="00161ABC">
        <w:rPr>
          <w:rFonts w:asciiTheme="majorBidi" w:hAnsiTheme="majorBidi" w:cstheme="majorBidi"/>
          <w:sz w:val="28"/>
          <w:szCs w:val="28"/>
        </w:rPr>
        <w:t xml:space="preserve">/L). Potassium levels were within the normal range, averaging </w:t>
      </w:r>
      <w:proofErr w:type="gramStart"/>
      <w:r w:rsidRPr="00161ABC">
        <w:rPr>
          <w:rFonts w:asciiTheme="majorBidi" w:hAnsiTheme="majorBidi" w:cstheme="majorBidi"/>
          <w:sz w:val="28"/>
          <w:szCs w:val="28"/>
        </w:rPr>
        <w:t xml:space="preserve">4.21 </w:t>
      </w:r>
      <w:proofErr w:type="spellStart"/>
      <w:r w:rsidRPr="00161ABC">
        <w:rPr>
          <w:rFonts w:asciiTheme="majorBidi" w:hAnsiTheme="majorBidi" w:cstheme="majorBidi"/>
          <w:sz w:val="28"/>
          <w:szCs w:val="28"/>
        </w:rPr>
        <w:t>mEq</w:t>
      </w:r>
      <w:proofErr w:type="spellEnd"/>
      <w:r w:rsidRPr="00161ABC">
        <w:rPr>
          <w:rFonts w:asciiTheme="majorBidi" w:hAnsiTheme="majorBidi" w:cstheme="majorBidi"/>
          <w:sz w:val="28"/>
          <w:szCs w:val="28"/>
        </w:rPr>
        <w:t>/L</w:t>
      </w:r>
      <w:proofErr w:type="gramEnd"/>
      <w:r w:rsidRPr="00161ABC">
        <w:rPr>
          <w:rFonts w:asciiTheme="majorBidi" w:hAnsiTheme="majorBidi" w:cstheme="majorBidi"/>
          <w:sz w:val="28"/>
          <w:szCs w:val="28"/>
        </w:rPr>
        <w:t xml:space="preserve"> (range: 3.5-4.9 </w:t>
      </w:r>
      <w:proofErr w:type="spellStart"/>
      <w:r w:rsidRPr="00161ABC">
        <w:rPr>
          <w:rFonts w:asciiTheme="majorBidi" w:hAnsiTheme="majorBidi" w:cstheme="majorBidi"/>
          <w:sz w:val="28"/>
          <w:szCs w:val="28"/>
        </w:rPr>
        <w:t>mEq</w:t>
      </w:r>
      <w:proofErr w:type="spellEnd"/>
      <w:r w:rsidRPr="00161ABC">
        <w:rPr>
          <w:rFonts w:asciiTheme="majorBidi" w:hAnsiTheme="majorBidi" w:cstheme="majorBidi"/>
          <w:sz w:val="28"/>
          <w:szCs w:val="28"/>
        </w:rPr>
        <w:t xml:space="preserve">/L). Calcium levels were also within the normal range, with a mean value </w:t>
      </w:r>
      <w:proofErr w:type="gramStart"/>
      <w:r w:rsidRPr="00161ABC">
        <w:rPr>
          <w:rFonts w:asciiTheme="majorBidi" w:hAnsiTheme="majorBidi" w:cstheme="majorBidi"/>
          <w:sz w:val="28"/>
          <w:szCs w:val="28"/>
        </w:rPr>
        <w:t xml:space="preserve">of 1.17 </w:t>
      </w:r>
      <w:proofErr w:type="spellStart"/>
      <w:r w:rsidRPr="00161ABC">
        <w:rPr>
          <w:rFonts w:asciiTheme="majorBidi" w:hAnsiTheme="majorBidi" w:cstheme="majorBidi"/>
          <w:sz w:val="28"/>
          <w:szCs w:val="28"/>
        </w:rPr>
        <w:t>mmol</w:t>
      </w:r>
      <w:proofErr w:type="spellEnd"/>
      <w:r w:rsidRPr="00161ABC">
        <w:rPr>
          <w:rFonts w:asciiTheme="majorBidi" w:hAnsiTheme="majorBidi" w:cstheme="majorBidi"/>
          <w:sz w:val="28"/>
          <w:szCs w:val="28"/>
        </w:rPr>
        <w:t>/L</w:t>
      </w:r>
      <w:proofErr w:type="gramEnd"/>
      <w:r w:rsidRPr="00161ABC">
        <w:rPr>
          <w:rFonts w:asciiTheme="majorBidi" w:hAnsiTheme="majorBidi" w:cstheme="majorBidi"/>
          <w:sz w:val="28"/>
          <w:szCs w:val="28"/>
        </w:rPr>
        <w:t xml:space="preserve"> (range: 0.94-1.4 </w:t>
      </w:r>
      <w:proofErr w:type="spellStart"/>
      <w:r w:rsidRPr="00161ABC">
        <w:rPr>
          <w:rFonts w:asciiTheme="majorBidi" w:hAnsiTheme="majorBidi" w:cstheme="majorBidi"/>
          <w:sz w:val="28"/>
          <w:szCs w:val="28"/>
        </w:rPr>
        <w:t>mmol</w:t>
      </w:r>
      <w:proofErr w:type="spellEnd"/>
      <w:r w:rsidRPr="00161ABC">
        <w:rPr>
          <w:rFonts w:asciiTheme="majorBidi" w:hAnsiTheme="majorBidi" w:cstheme="majorBidi"/>
          <w:sz w:val="28"/>
          <w:szCs w:val="28"/>
        </w:rPr>
        <w:t>/L). These results indicate adequate electrolyte balance in the included subjects.</w:t>
      </w:r>
    </w:p>
    <w:p w:rsidR="005B04A4" w:rsidRPr="00161ABC" w:rsidRDefault="005B04A4" w:rsidP="005B04A4">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11</w:t>
      </w:r>
      <w:r w:rsidRPr="00161ABC">
        <w:rPr>
          <w:rFonts w:asciiTheme="majorBidi" w:hAnsiTheme="majorBidi" w:cstheme="majorBidi"/>
          <w:sz w:val="28"/>
          <w:szCs w:val="28"/>
        </w:rPr>
        <w:t>): Fate and Outcome data among included subjects</w:t>
      </w:r>
    </w:p>
    <w:tbl>
      <w:tblPr>
        <w:tblStyle w:val="GridTable4-Accent11"/>
        <w:tblW w:w="5000" w:type="pct"/>
        <w:jc w:val="center"/>
        <w:tblLook w:val="04A0" w:firstRow="1" w:lastRow="0" w:firstColumn="1" w:lastColumn="0" w:noHBand="0" w:noVBand="1"/>
      </w:tblPr>
      <w:tblGrid>
        <w:gridCol w:w="7082"/>
        <w:gridCol w:w="2494"/>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color w:val="auto"/>
                <w:sz w:val="28"/>
                <w:szCs w:val="28"/>
              </w:rPr>
            </w:pPr>
          </w:p>
        </w:tc>
        <w:tc>
          <w:tcPr>
            <w:tcW w:w="1302" w:type="pct"/>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Value ( N = 100)</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ICU admission</w:t>
            </w: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44 (44%)</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Time at ICU (Days)</w:t>
            </w: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2.14 ± 0.35</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 (2-3)</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Time in pediatric department (Days)</w:t>
            </w: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1.69 ± 1.78</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1 (0-7)</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Time till discharge</w:t>
            </w:r>
          </w:p>
        </w:tc>
        <w:tc>
          <w:tcPr>
            <w:tcW w:w="1302" w:type="pct"/>
            <w:noWrap/>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2.63 ± 1.84</w:t>
            </w:r>
          </w:p>
        </w:tc>
      </w:tr>
      <w:tr w:rsidR="005B04A4"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698" w:type="pct"/>
            <w:noWrap/>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1302"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 (1-7)</w:t>
            </w:r>
          </w:p>
        </w:tc>
      </w:tr>
    </w:tbl>
    <w:p w:rsidR="005B04A4" w:rsidRDefault="00161ABC" w:rsidP="005B04A4">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11</w:t>
      </w:r>
      <w:r w:rsidRPr="00161ABC">
        <w:rPr>
          <w:rFonts w:asciiTheme="majorBidi" w:hAnsiTheme="majorBidi" w:cstheme="majorBidi"/>
          <w:sz w:val="28"/>
          <w:szCs w:val="28"/>
        </w:rPr>
        <w:t xml:space="preserve">) showed that: 44% required ICU admission, indicating the severity of their conditions. The average time spent in the ICU was reported as 2.14 days, with a range of 2 to 3 days. In the pediatric department, the average length of stay was 1.69 days, with a wide variation ranging from 0 to 7 days. </w:t>
      </w:r>
      <w:r w:rsidRPr="00161ABC">
        <w:rPr>
          <w:rFonts w:asciiTheme="majorBidi" w:hAnsiTheme="majorBidi" w:cstheme="majorBidi"/>
          <w:sz w:val="28"/>
          <w:szCs w:val="28"/>
          <w:rtl/>
        </w:rPr>
        <w:t xml:space="preserve"> </w:t>
      </w:r>
      <w:r w:rsidRPr="00161ABC">
        <w:rPr>
          <w:rFonts w:asciiTheme="majorBidi" w:hAnsiTheme="majorBidi" w:cstheme="majorBidi"/>
          <w:sz w:val="28"/>
          <w:szCs w:val="28"/>
        </w:rPr>
        <w:t xml:space="preserve">The average time until discharge was reported as 2.63 days, with a range of 1 to 7 days. </w:t>
      </w:r>
    </w:p>
    <w:p w:rsidR="00161ABC" w:rsidRPr="00161ABC" w:rsidRDefault="00161ABC" w:rsidP="005B04A4">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lastRenderedPageBreak/>
        <w:t>Table (</w:t>
      </w:r>
      <w:r>
        <w:rPr>
          <w:rFonts w:asciiTheme="majorBidi" w:hAnsiTheme="majorBidi" w:cstheme="majorBidi"/>
          <w:sz w:val="28"/>
          <w:szCs w:val="28"/>
        </w:rPr>
        <w:t>12</w:t>
      </w:r>
      <w:r w:rsidRPr="00161ABC">
        <w:rPr>
          <w:rFonts w:asciiTheme="majorBidi" w:hAnsiTheme="majorBidi" w:cstheme="majorBidi"/>
          <w:sz w:val="28"/>
          <w:szCs w:val="28"/>
        </w:rPr>
        <w:t>): Correlation between different poison types with patients' data and age:</w:t>
      </w:r>
    </w:p>
    <w:tbl>
      <w:tblPr>
        <w:tblStyle w:val="GridTable4-Accent11"/>
        <w:tblW w:w="6215" w:type="pct"/>
        <w:jc w:val="center"/>
        <w:tblLook w:val="04A0" w:firstRow="1" w:lastRow="0" w:firstColumn="1" w:lastColumn="0" w:noHBand="0" w:noVBand="1"/>
      </w:tblPr>
      <w:tblGrid>
        <w:gridCol w:w="3973"/>
        <w:gridCol w:w="1282"/>
        <w:gridCol w:w="1299"/>
        <w:gridCol w:w="1235"/>
        <w:gridCol w:w="1300"/>
        <w:gridCol w:w="1478"/>
        <w:gridCol w:w="1336"/>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75" w:type="pct"/>
            <w:vMerge w:val="restart"/>
            <w:noWrap/>
            <w:hideMark/>
          </w:tcPr>
          <w:p w:rsidR="00161ABC" w:rsidRPr="00161ABC" w:rsidRDefault="00161ABC" w:rsidP="005B04A4">
            <w:pPr>
              <w:bidi w:val="0"/>
              <w:spacing w:after="0" w:line="240" w:lineRule="auto"/>
              <w:jc w:val="both"/>
              <w:rPr>
                <w:rFonts w:asciiTheme="majorBidi" w:eastAsia="Times New Roman" w:hAnsiTheme="majorBidi" w:cstheme="majorBidi"/>
                <w:color w:val="auto"/>
                <w:sz w:val="28"/>
                <w:szCs w:val="28"/>
              </w:rPr>
            </w:pPr>
          </w:p>
        </w:tc>
        <w:tc>
          <w:tcPr>
            <w:tcW w:w="1097"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 xml:space="preserve"> Medications/Drugs</w:t>
            </w:r>
          </w:p>
        </w:tc>
        <w:tc>
          <w:tcPr>
            <w:tcW w:w="1077"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 xml:space="preserve"> Toxic/Poisonous </w:t>
            </w:r>
            <w:r w:rsidRPr="00161ABC">
              <w:rPr>
                <w:rFonts w:asciiTheme="majorBidi" w:eastAsia="Times New Roman" w:hAnsiTheme="majorBidi" w:cstheme="majorBidi"/>
                <w:color w:val="auto"/>
                <w:sz w:val="28"/>
                <w:szCs w:val="28"/>
              </w:rPr>
              <w:br/>
              <w:t>Substances</w:t>
            </w:r>
          </w:p>
        </w:tc>
        <w:tc>
          <w:tcPr>
            <w:tcW w:w="1150"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 xml:space="preserve"> Chemical Substances</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75"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54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c>
          <w:tcPr>
            <w:tcW w:w="52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c>
          <w:tcPr>
            <w:tcW w:w="60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546"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r>
      <w:tr w:rsidR="00161ABC" w:rsidRPr="00161ABC" w:rsidTr="005B04A4">
        <w:trPr>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Age (Years)</w:t>
            </w:r>
          </w:p>
        </w:tc>
        <w:tc>
          <w:tcPr>
            <w:tcW w:w="54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.410</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0.00002</w:t>
            </w:r>
          </w:p>
        </w:tc>
        <w:tc>
          <w:tcPr>
            <w:tcW w:w="52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-.401</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0.00004</w:t>
            </w:r>
          </w:p>
        </w:tc>
        <w:tc>
          <w:tcPr>
            <w:tcW w:w="60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-0.00804</w:t>
            </w:r>
          </w:p>
        </w:tc>
        <w:tc>
          <w:tcPr>
            <w:tcW w:w="546"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0.93671</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Age category</w:t>
            </w:r>
          </w:p>
        </w:tc>
        <w:tc>
          <w:tcPr>
            <w:tcW w:w="54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2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60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46"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r>
      <w:tr w:rsidR="00161ABC" w:rsidRPr="00161ABC" w:rsidTr="005B04A4">
        <w:trPr>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Infant </w:t>
            </w:r>
          </w:p>
        </w:tc>
        <w:tc>
          <w:tcPr>
            <w:tcW w:w="54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-.499</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&lt;0.00001</w:t>
            </w:r>
          </w:p>
        </w:tc>
        <w:tc>
          <w:tcPr>
            <w:tcW w:w="52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.552</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&lt;0.00001</w:t>
            </w:r>
          </w:p>
        </w:tc>
        <w:tc>
          <w:tcPr>
            <w:tcW w:w="60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-0.04791</w:t>
            </w:r>
          </w:p>
        </w:tc>
        <w:tc>
          <w:tcPr>
            <w:tcW w:w="546"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0.63595</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Toddler</w:t>
            </w:r>
          </w:p>
        </w:tc>
        <w:tc>
          <w:tcPr>
            <w:tcW w:w="54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-0.18907</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0.05957</w:t>
            </w:r>
          </w:p>
        </w:tc>
        <w:tc>
          <w:tcPr>
            <w:tcW w:w="52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-0.18907</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0.05957</w:t>
            </w:r>
          </w:p>
        </w:tc>
        <w:tc>
          <w:tcPr>
            <w:tcW w:w="60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.342</w:t>
            </w:r>
            <w:r w:rsidRPr="00161ABC">
              <w:rPr>
                <w:rFonts w:asciiTheme="majorBidi" w:eastAsia="Times New Roman" w:hAnsiTheme="majorBidi" w:cstheme="majorBidi"/>
                <w:sz w:val="28"/>
                <w:szCs w:val="28"/>
                <w:vertAlign w:val="superscript"/>
              </w:rPr>
              <w:t>**</w:t>
            </w:r>
          </w:p>
        </w:tc>
        <w:tc>
          <w:tcPr>
            <w:tcW w:w="546"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0.0005</w:t>
            </w:r>
          </w:p>
        </w:tc>
      </w:tr>
      <w:tr w:rsidR="00161ABC" w:rsidRPr="00161ABC" w:rsidTr="005B04A4">
        <w:trPr>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Preschoolers </w:t>
            </w:r>
          </w:p>
        </w:tc>
        <w:tc>
          <w:tcPr>
            <w:tcW w:w="54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.592</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&lt;0.00001</w:t>
            </w:r>
          </w:p>
        </w:tc>
        <w:tc>
          <w:tcPr>
            <w:tcW w:w="52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-.230</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0.02117</w:t>
            </w:r>
          </w:p>
        </w:tc>
        <w:tc>
          <w:tcPr>
            <w:tcW w:w="60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-.327</w:t>
            </w:r>
            <w:r w:rsidRPr="00161ABC">
              <w:rPr>
                <w:rFonts w:asciiTheme="majorBidi" w:eastAsia="Times New Roman" w:hAnsiTheme="majorBidi" w:cstheme="majorBidi"/>
                <w:sz w:val="28"/>
                <w:szCs w:val="28"/>
                <w:vertAlign w:val="superscript"/>
              </w:rPr>
              <w:t>**</w:t>
            </w:r>
          </w:p>
        </w:tc>
        <w:tc>
          <w:tcPr>
            <w:tcW w:w="546"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0.00089</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School-age children </w:t>
            </w:r>
          </w:p>
        </w:tc>
        <w:tc>
          <w:tcPr>
            <w:tcW w:w="54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.440</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&lt;0.00001</w:t>
            </w:r>
          </w:p>
        </w:tc>
        <w:tc>
          <w:tcPr>
            <w:tcW w:w="52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-0.17109</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0.08877</w:t>
            </w:r>
          </w:p>
        </w:tc>
        <w:tc>
          <w:tcPr>
            <w:tcW w:w="60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-.243</w:t>
            </w:r>
            <w:r w:rsidRPr="00161ABC">
              <w:rPr>
                <w:rFonts w:asciiTheme="majorBidi" w:eastAsia="Times New Roman" w:hAnsiTheme="majorBidi" w:cstheme="majorBidi"/>
                <w:sz w:val="28"/>
                <w:szCs w:val="28"/>
                <w:vertAlign w:val="superscript"/>
              </w:rPr>
              <w:t>*</w:t>
            </w:r>
          </w:p>
        </w:tc>
        <w:tc>
          <w:tcPr>
            <w:tcW w:w="546"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0.01477</w:t>
            </w:r>
          </w:p>
        </w:tc>
      </w:tr>
      <w:tr w:rsidR="00161ABC" w:rsidRPr="00161ABC" w:rsidTr="005B04A4">
        <w:trPr>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Adolescents </w:t>
            </w:r>
          </w:p>
        </w:tc>
        <w:tc>
          <w:tcPr>
            <w:tcW w:w="54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0.089087</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0.37809</w:t>
            </w:r>
          </w:p>
        </w:tc>
        <w:tc>
          <w:tcPr>
            <w:tcW w:w="52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-.208</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0.03796</w:t>
            </w:r>
          </w:p>
        </w:tc>
        <w:tc>
          <w:tcPr>
            <w:tcW w:w="60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0.107443</w:t>
            </w:r>
          </w:p>
        </w:tc>
        <w:tc>
          <w:tcPr>
            <w:tcW w:w="546"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0.28733</w:t>
            </w:r>
          </w:p>
        </w:tc>
      </w:tr>
    </w:tbl>
    <w:p w:rsidR="00161ABC" w:rsidRPr="005B04A4" w:rsidRDefault="00161ABC" w:rsidP="00161ABC">
      <w:pPr>
        <w:bidi w:val="0"/>
        <w:spacing w:line="360" w:lineRule="auto"/>
        <w:jc w:val="both"/>
        <w:rPr>
          <w:rFonts w:asciiTheme="majorBidi" w:hAnsiTheme="majorBidi" w:cstheme="majorBidi"/>
        </w:rPr>
      </w:pPr>
      <w:r w:rsidRPr="005B04A4">
        <w:rPr>
          <w:rFonts w:asciiTheme="majorBidi" w:hAnsiTheme="majorBidi" w:cstheme="majorBidi"/>
        </w:rPr>
        <w:t>R: Pearson correlation</w:t>
      </w:r>
    </w:p>
    <w:p w:rsidR="00161ABC" w:rsidRPr="00161ABC" w:rsidRDefault="00161ABC" w:rsidP="005B04A4">
      <w:pPr>
        <w:bidi w:val="0"/>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1</w:t>
      </w:r>
      <w:r w:rsidR="00BC2B68">
        <w:rPr>
          <w:rFonts w:asciiTheme="majorBidi" w:hAnsiTheme="majorBidi" w:cstheme="majorBidi"/>
          <w:sz w:val="28"/>
          <w:szCs w:val="28"/>
        </w:rPr>
        <w:t>2</w:t>
      </w:r>
      <w:r w:rsidRPr="00161ABC">
        <w:rPr>
          <w:rFonts w:asciiTheme="majorBidi" w:hAnsiTheme="majorBidi" w:cstheme="majorBidi"/>
          <w:sz w:val="28"/>
          <w:szCs w:val="28"/>
        </w:rPr>
        <w:t>) showed that:</w:t>
      </w:r>
    </w:p>
    <w:p w:rsidR="00161ABC" w:rsidRPr="00161ABC" w:rsidRDefault="00161ABC" w:rsidP="005B04A4">
      <w:pPr>
        <w:bidi w:val="0"/>
        <w:jc w:val="both"/>
        <w:rPr>
          <w:rFonts w:asciiTheme="majorBidi" w:hAnsiTheme="majorBidi" w:cstheme="majorBidi"/>
          <w:sz w:val="28"/>
          <w:szCs w:val="28"/>
        </w:rPr>
      </w:pPr>
      <w:r w:rsidRPr="00161ABC">
        <w:rPr>
          <w:rFonts w:asciiTheme="majorBidi" w:hAnsiTheme="majorBidi" w:cstheme="majorBidi"/>
          <w:sz w:val="28"/>
          <w:szCs w:val="28"/>
        </w:rPr>
        <w:t>In terms of Age, there was a statistically significant moderate positive correlation with Medications/Drugs poisoning (r = 0.410, p &lt; 0.001), and a statistically significant moderate negative correlation with Toxic/Poisonous Substances poisoning (r = -0.401, p &lt; 0.001). The correlation with Chemical Substances was very weak and not significant (r = -0.00804, p = 0.937).</w:t>
      </w:r>
    </w:p>
    <w:p w:rsidR="00161ABC" w:rsidRPr="00161ABC" w:rsidRDefault="00161ABC" w:rsidP="005B04A4">
      <w:pPr>
        <w:bidi w:val="0"/>
        <w:jc w:val="both"/>
        <w:rPr>
          <w:rFonts w:asciiTheme="majorBidi" w:hAnsiTheme="majorBidi" w:cstheme="majorBidi"/>
          <w:sz w:val="28"/>
          <w:szCs w:val="28"/>
        </w:rPr>
      </w:pPr>
      <w:r w:rsidRPr="00161ABC">
        <w:rPr>
          <w:rFonts w:asciiTheme="majorBidi" w:hAnsiTheme="majorBidi" w:cstheme="majorBidi"/>
          <w:sz w:val="28"/>
          <w:szCs w:val="28"/>
        </w:rPr>
        <w:t>In the Age Category analysis, infants showed a statistically significant strong negative correlation with Medications/Drugs poisoning (r = -0.499, p &lt; 0.001). Toddlers displayed a statistically significant moderate positive correlation with Chemical Substances poisoning (r = 0.342, p = 0.001). Preschoolers had a statistically significant strong positive correlation with Medications/Drugs poisoning (r = 0.592, p &lt; 0.001), a weak negative correlation with Toxic/Poisonous Substances (r = -0.230, p = 0.021), and a moderate negative correlation with Chemical Substances (r = -0.327, p = 0.001). School-age children demonstrated a statistically significant moderate positive correlation with Medications/Drugs poisoning (r = 0.440, p &lt; 0.001), and weak negative correlations with Toxic/Poisonous Substances (r = -0.171, p = 0.089) and Chemical Substances (r = -0.243, p = 0.015). Adolescents showed a statistically significant weak negative correlation with Toxic/Poisonous Substances poisoning (r = -0.208, p = 0.038).</w:t>
      </w:r>
    </w:p>
    <w:p w:rsidR="00161ABC" w:rsidRPr="00161ABC" w:rsidRDefault="00161ABC" w:rsidP="00161ABC">
      <w:pPr>
        <w:bidi w:val="0"/>
        <w:spacing w:line="360" w:lineRule="auto"/>
        <w:jc w:val="both"/>
        <w:rPr>
          <w:rFonts w:asciiTheme="majorBidi" w:hAnsiTheme="majorBidi" w:cstheme="majorBidi"/>
          <w:sz w:val="28"/>
          <w:szCs w:val="28"/>
        </w:rPr>
      </w:pPr>
    </w:p>
    <w:p w:rsidR="00161ABC" w:rsidRPr="00161ABC" w:rsidRDefault="00161ABC" w:rsidP="00161ABC">
      <w:pPr>
        <w:bidi w:val="0"/>
        <w:spacing w:line="360" w:lineRule="auto"/>
        <w:ind w:left="-450" w:right="-720"/>
        <w:jc w:val="both"/>
        <w:rPr>
          <w:rFonts w:asciiTheme="majorBidi" w:hAnsiTheme="majorBidi" w:cstheme="majorBidi"/>
          <w:sz w:val="28"/>
          <w:szCs w:val="28"/>
        </w:rPr>
      </w:pPr>
      <w:r w:rsidRPr="00161ABC">
        <w:rPr>
          <w:rFonts w:asciiTheme="majorBidi" w:hAnsiTheme="majorBidi" w:cstheme="majorBidi"/>
          <w:sz w:val="28"/>
          <w:szCs w:val="28"/>
        </w:rPr>
        <w:lastRenderedPageBreak/>
        <w:t>Table (</w:t>
      </w:r>
      <w:r>
        <w:rPr>
          <w:rFonts w:asciiTheme="majorBidi" w:hAnsiTheme="majorBidi" w:cstheme="majorBidi"/>
          <w:sz w:val="28"/>
          <w:szCs w:val="28"/>
        </w:rPr>
        <w:t>1</w:t>
      </w:r>
      <w:r w:rsidR="00BC2B68">
        <w:rPr>
          <w:rFonts w:asciiTheme="majorBidi" w:hAnsiTheme="majorBidi" w:cstheme="majorBidi"/>
          <w:sz w:val="28"/>
          <w:szCs w:val="28"/>
        </w:rPr>
        <w:t>3</w:t>
      </w:r>
      <w:r w:rsidRPr="00161ABC">
        <w:rPr>
          <w:rFonts w:asciiTheme="majorBidi" w:hAnsiTheme="majorBidi" w:cstheme="majorBidi"/>
          <w:sz w:val="28"/>
          <w:szCs w:val="28"/>
        </w:rPr>
        <w:t>): Correlation between different poison types with patients' data and sex:</w:t>
      </w:r>
    </w:p>
    <w:tbl>
      <w:tblPr>
        <w:tblStyle w:val="GridTable4-Accent11"/>
        <w:tblW w:w="6086" w:type="pct"/>
        <w:jc w:val="center"/>
        <w:tblLook w:val="04A0" w:firstRow="1" w:lastRow="0" w:firstColumn="1" w:lastColumn="0" w:noHBand="0" w:noVBand="1"/>
      </w:tblPr>
      <w:tblGrid>
        <w:gridCol w:w="3856"/>
        <w:gridCol w:w="1275"/>
        <w:gridCol w:w="1291"/>
        <w:gridCol w:w="1175"/>
        <w:gridCol w:w="1238"/>
        <w:gridCol w:w="1483"/>
        <w:gridCol w:w="1338"/>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654" w:type="pct"/>
            <w:vMerge w:val="restart"/>
            <w:noWrap/>
            <w:hideMark/>
          </w:tcPr>
          <w:p w:rsidR="00161ABC" w:rsidRPr="00161ABC" w:rsidRDefault="00161ABC" w:rsidP="005B04A4">
            <w:pPr>
              <w:bidi w:val="0"/>
              <w:spacing w:after="0" w:line="240" w:lineRule="auto"/>
              <w:jc w:val="both"/>
              <w:rPr>
                <w:rFonts w:asciiTheme="majorBidi" w:eastAsia="Times New Roman" w:hAnsiTheme="majorBidi" w:cstheme="majorBidi"/>
                <w:color w:val="auto"/>
                <w:sz w:val="28"/>
                <w:szCs w:val="28"/>
              </w:rPr>
            </w:pPr>
          </w:p>
        </w:tc>
        <w:tc>
          <w:tcPr>
            <w:tcW w:w="1101"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 xml:space="preserve"> Medications/Drugs</w:t>
            </w:r>
          </w:p>
        </w:tc>
        <w:tc>
          <w:tcPr>
            <w:tcW w:w="1035"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 xml:space="preserve"> Toxic/Poisonous </w:t>
            </w:r>
            <w:r w:rsidRPr="00161ABC">
              <w:rPr>
                <w:rFonts w:asciiTheme="majorBidi" w:eastAsia="Times New Roman" w:hAnsiTheme="majorBidi" w:cstheme="majorBidi"/>
                <w:color w:val="auto"/>
                <w:sz w:val="28"/>
                <w:szCs w:val="28"/>
              </w:rPr>
              <w:br/>
              <w:t>Substances</w:t>
            </w:r>
          </w:p>
        </w:tc>
        <w:tc>
          <w:tcPr>
            <w:tcW w:w="1210"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 xml:space="preserve"> Chemical Substances</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654"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547"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553"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c>
          <w:tcPr>
            <w:tcW w:w="50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531"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c>
          <w:tcPr>
            <w:tcW w:w="636"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57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r>
      <w:tr w:rsidR="00161ABC" w:rsidRPr="00161ABC" w:rsidTr="005B04A4">
        <w:trPr>
          <w:trHeight w:val="254"/>
          <w:jc w:val="center"/>
        </w:trPr>
        <w:tc>
          <w:tcPr>
            <w:cnfStyle w:val="001000000000" w:firstRow="0" w:lastRow="0" w:firstColumn="1" w:lastColumn="0" w:oddVBand="0" w:evenVBand="0" w:oddHBand="0" w:evenHBand="0" w:firstRowFirstColumn="0" w:firstRowLastColumn="0" w:lastRowFirstColumn="0" w:lastRowLastColumn="0"/>
            <w:tcW w:w="1654"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Sex</w:t>
            </w:r>
          </w:p>
        </w:tc>
        <w:tc>
          <w:tcPr>
            <w:tcW w:w="547"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53"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0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31"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636"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7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654" w:type="pct"/>
            <w:noWrap/>
            <w:hideMark/>
          </w:tcPr>
          <w:p w:rsidR="00161ABC" w:rsidRPr="00161ABC" w:rsidRDefault="00161ABC" w:rsidP="005B04A4">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Male</w:t>
            </w:r>
          </w:p>
        </w:tc>
        <w:tc>
          <w:tcPr>
            <w:tcW w:w="547"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0.130728</w:t>
            </w:r>
          </w:p>
        </w:tc>
        <w:tc>
          <w:tcPr>
            <w:tcW w:w="553"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0.19483</w:t>
            </w:r>
          </w:p>
        </w:tc>
        <w:tc>
          <w:tcPr>
            <w:tcW w:w="50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-.201</w:t>
            </w:r>
            <w:r w:rsidRPr="00161ABC">
              <w:rPr>
                <w:rFonts w:asciiTheme="majorBidi" w:eastAsia="Times New Roman" w:hAnsiTheme="majorBidi" w:cstheme="majorBidi"/>
                <w:sz w:val="28"/>
                <w:szCs w:val="28"/>
                <w:vertAlign w:val="superscript"/>
              </w:rPr>
              <w:t>*</w:t>
            </w:r>
          </w:p>
        </w:tc>
        <w:tc>
          <w:tcPr>
            <w:tcW w:w="531"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0.04512</w:t>
            </w:r>
          </w:p>
        </w:tc>
        <w:tc>
          <w:tcPr>
            <w:tcW w:w="636"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0.063408</w:t>
            </w:r>
          </w:p>
        </w:tc>
        <w:tc>
          <w:tcPr>
            <w:tcW w:w="57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0.53083</w:t>
            </w:r>
          </w:p>
        </w:tc>
      </w:tr>
      <w:tr w:rsidR="00161ABC" w:rsidRPr="00161ABC" w:rsidTr="005B04A4">
        <w:trPr>
          <w:trHeight w:val="52"/>
          <w:jc w:val="center"/>
        </w:trPr>
        <w:tc>
          <w:tcPr>
            <w:cnfStyle w:val="001000000000" w:firstRow="0" w:lastRow="0" w:firstColumn="1" w:lastColumn="0" w:oddVBand="0" w:evenVBand="0" w:oddHBand="0" w:evenHBand="0" w:firstRowFirstColumn="0" w:firstRowLastColumn="0" w:lastRowFirstColumn="0" w:lastRowLastColumn="0"/>
            <w:tcW w:w="1654" w:type="pct"/>
            <w:noWrap/>
            <w:hideMark/>
          </w:tcPr>
          <w:p w:rsidR="00161ABC" w:rsidRPr="00161ABC" w:rsidRDefault="00161ABC" w:rsidP="005B04A4">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Female</w:t>
            </w:r>
          </w:p>
        </w:tc>
        <w:tc>
          <w:tcPr>
            <w:tcW w:w="547"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-0.13073</w:t>
            </w:r>
          </w:p>
        </w:tc>
        <w:tc>
          <w:tcPr>
            <w:tcW w:w="553"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0.19483</w:t>
            </w:r>
          </w:p>
        </w:tc>
        <w:tc>
          <w:tcPr>
            <w:tcW w:w="50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.201</w:t>
            </w:r>
            <w:r w:rsidRPr="00161ABC">
              <w:rPr>
                <w:rFonts w:asciiTheme="majorBidi" w:eastAsia="Times New Roman" w:hAnsiTheme="majorBidi" w:cstheme="majorBidi"/>
                <w:sz w:val="28"/>
                <w:szCs w:val="28"/>
                <w:vertAlign w:val="superscript"/>
              </w:rPr>
              <w:t>*</w:t>
            </w:r>
          </w:p>
        </w:tc>
        <w:tc>
          <w:tcPr>
            <w:tcW w:w="531"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0.04512</w:t>
            </w:r>
          </w:p>
        </w:tc>
        <w:tc>
          <w:tcPr>
            <w:tcW w:w="636"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-0.06341</w:t>
            </w:r>
          </w:p>
        </w:tc>
        <w:tc>
          <w:tcPr>
            <w:tcW w:w="57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0.53083</w:t>
            </w:r>
          </w:p>
        </w:tc>
      </w:tr>
    </w:tbl>
    <w:p w:rsidR="005B04A4" w:rsidRDefault="00161ABC" w:rsidP="005B04A4">
      <w:pPr>
        <w:bidi w:val="0"/>
        <w:spacing w:line="360" w:lineRule="auto"/>
        <w:jc w:val="both"/>
        <w:rPr>
          <w:rFonts w:asciiTheme="majorBidi" w:hAnsiTheme="majorBidi" w:cstheme="majorBidi"/>
        </w:rPr>
      </w:pPr>
      <w:r w:rsidRPr="005B04A4">
        <w:rPr>
          <w:rFonts w:asciiTheme="majorBidi" w:hAnsiTheme="majorBidi" w:cstheme="majorBidi"/>
        </w:rPr>
        <w:t>R: Pearson correlation</w:t>
      </w:r>
    </w:p>
    <w:p w:rsidR="00161ABC" w:rsidRDefault="00161ABC" w:rsidP="005B04A4">
      <w:pPr>
        <w:bidi w:val="0"/>
        <w:spacing w:line="24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1</w:t>
      </w:r>
      <w:r w:rsidR="00BC2B68">
        <w:rPr>
          <w:rFonts w:asciiTheme="majorBidi" w:hAnsiTheme="majorBidi" w:cstheme="majorBidi"/>
          <w:sz w:val="28"/>
          <w:szCs w:val="28"/>
        </w:rPr>
        <w:t>3</w:t>
      </w:r>
      <w:r w:rsidRPr="00161ABC">
        <w:rPr>
          <w:rFonts w:asciiTheme="majorBidi" w:hAnsiTheme="majorBidi" w:cstheme="majorBidi"/>
          <w:sz w:val="28"/>
          <w:szCs w:val="28"/>
        </w:rPr>
        <w:t>) showed that: There was no statistically significant correlation between Sex and different poison types.</w:t>
      </w:r>
    </w:p>
    <w:p w:rsidR="005B04A4" w:rsidRPr="005B04A4" w:rsidRDefault="005B04A4" w:rsidP="005B04A4">
      <w:pPr>
        <w:bidi w:val="0"/>
        <w:spacing w:line="240" w:lineRule="auto"/>
        <w:jc w:val="both"/>
        <w:rPr>
          <w:rFonts w:asciiTheme="majorBidi" w:hAnsiTheme="majorBidi" w:cstheme="majorBidi"/>
        </w:rPr>
      </w:pPr>
    </w:p>
    <w:p w:rsidR="00161ABC" w:rsidRPr="00161ABC" w:rsidRDefault="00161ABC" w:rsidP="005B04A4">
      <w:pPr>
        <w:bidi w:val="0"/>
        <w:spacing w:line="360" w:lineRule="auto"/>
        <w:ind w:left="-450" w:right="-720"/>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1</w:t>
      </w:r>
      <w:r w:rsidR="00BC2B68">
        <w:rPr>
          <w:rFonts w:asciiTheme="majorBidi" w:hAnsiTheme="majorBidi" w:cstheme="majorBidi"/>
          <w:sz w:val="28"/>
          <w:szCs w:val="28"/>
        </w:rPr>
        <w:t>4</w:t>
      </w:r>
      <w:r w:rsidRPr="00161ABC">
        <w:rPr>
          <w:rFonts w:asciiTheme="majorBidi" w:hAnsiTheme="majorBidi" w:cstheme="majorBidi"/>
          <w:sz w:val="28"/>
          <w:szCs w:val="28"/>
        </w:rPr>
        <w:t>): Correlation between different poison types with patients' data and vitals:</w:t>
      </w:r>
    </w:p>
    <w:tbl>
      <w:tblPr>
        <w:tblStyle w:val="GridTable4-Accent11"/>
        <w:tblW w:w="6215" w:type="pct"/>
        <w:jc w:val="center"/>
        <w:tblLook w:val="04A0" w:firstRow="1" w:lastRow="0" w:firstColumn="1" w:lastColumn="0" w:noHBand="0" w:noVBand="1"/>
      </w:tblPr>
      <w:tblGrid>
        <w:gridCol w:w="3973"/>
        <w:gridCol w:w="1282"/>
        <w:gridCol w:w="1299"/>
        <w:gridCol w:w="1235"/>
        <w:gridCol w:w="1300"/>
        <w:gridCol w:w="1478"/>
        <w:gridCol w:w="1336"/>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75" w:type="pct"/>
            <w:vMerge w:val="restart"/>
            <w:noWrap/>
            <w:hideMark/>
          </w:tcPr>
          <w:p w:rsidR="00161ABC" w:rsidRPr="00161ABC" w:rsidRDefault="00161ABC" w:rsidP="005B04A4">
            <w:pPr>
              <w:bidi w:val="0"/>
              <w:spacing w:after="0" w:line="240" w:lineRule="auto"/>
              <w:jc w:val="both"/>
              <w:rPr>
                <w:rFonts w:asciiTheme="majorBidi" w:eastAsia="Times New Roman" w:hAnsiTheme="majorBidi" w:cstheme="majorBidi"/>
                <w:color w:val="auto"/>
                <w:sz w:val="28"/>
                <w:szCs w:val="28"/>
              </w:rPr>
            </w:pPr>
          </w:p>
        </w:tc>
        <w:tc>
          <w:tcPr>
            <w:tcW w:w="1097"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 xml:space="preserve"> Medications/Drugs</w:t>
            </w:r>
          </w:p>
        </w:tc>
        <w:tc>
          <w:tcPr>
            <w:tcW w:w="1077"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 xml:space="preserve"> Toxic/Poisonous </w:t>
            </w:r>
            <w:r w:rsidRPr="00161ABC">
              <w:rPr>
                <w:rFonts w:asciiTheme="majorBidi" w:eastAsia="Times New Roman" w:hAnsiTheme="majorBidi" w:cstheme="majorBidi"/>
                <w:color w:val="auto"/>
                <w:sz w:val="28"/>
                <w:szCs w:val="28"/>
              </w:rPr>
              <w:br/>
              <w:t>Substances</w:t>
            </w:r>
          </w:p>
        </w:tc>
        <w:tc>
          <w:tcPr>
            <w:tcW w:w="1150"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 xml:space="preserve"> Chemical Substances</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75" w:type="pct"/>
            <w:vMerge/>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54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c>
          <w:tcPr>
            <w:tcW w:w="52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c>
          <w:tcPr>
            <w:tcW w:w="60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546"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r>
      <w:tr w:rsidR="00161ABC" w:rsidRPr="00161ABC" w:rsidTr="005B04A4">
        <w:trPr>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Vitals</w:t>
            </w:r>
          </w:p>
        </w:tc>
        <w:tc>
          <w:tcPr>
            <w:tcW w:w="54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2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60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c>
          <w:tcPr>
            <w:tcW w:w="546"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 xml:space="preserve"> </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HR</w:t>
            </w:r>
          </w:p>
        </w:tc>
        <w:tc>
          <w:tcPr>
            <w:tcW w:w="54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-.203</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0.04273</w:t>
            </w:r>
          </w:p>
        </w:tc>
        <w:tc>
          <w:tcPr>
            <w:tcW w:w="52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.519</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&lt;0.00001</w:t>
            </w:r>
          </w:p>
        </w:tc>
        <w:tc>
          <w:tcPr>
            <w:tcW w:w="60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-.286</w:t>
            </w:r>
            <w:r w:rsidRPr="00161ABC">
              <w:rPr>
                <w:rFonts w:asciiTheme="majorBidi" w:eastAsia="Times New Roman" w:hAnsiTheme="majorBidi" w:cstheme="majorBidi"/>
                <w:sz w:val="28"/>
                <w:szCs w:val="28"/>
                <w:vertAlign w:val="superscript"/>
              </w:rPr>
              <w:t>**</w:t>
            </w:r>
          </w:p>
        </w:tc>
        <w:tc>
          <w:tcPr>
            <w:tcW w:w="546"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0.00397</w:t>
            </w:r>
          </w:p>
        </w:tc>
      </w:tr>
      <w:tr w:rsidR="00161ABC" w:rsidRPr="00161ABC" w:rsidTr="005B04A4">
        <w:trPr>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RR</w:t>
            </w:r>
          </w:p>
        </w:tc>
        <w:tc>
          <w:tcPr>
            <w:tcW w:w="54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-.472</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&lt;0.00001</w:t>
            </w:r>
          </w:p>
        </w:tc>
        <w:tc>
          <w:tcPr>
            <w:tcW w:w="52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.573</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&lt;0.00001</w:t>
            </w:r>
          </w:p>
        </w:tc>
        <w:tc>
          <w:tcPr>
            <w:tcW w:w="60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-0.09154</w:t>
            </w:r>
          </w:p>
        </w:tc>
        <w:tc>
          <w:tcPr>
            <w:tcW w:w="546"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0.36507</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SBP</w:t>
            </w:r>
          </w:p>
        </w:tc>
        <w:tc>
          <w:tcPr>
            <w:tcW w:w="54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.364</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0.0002</w:t>
            </w:r>
          </w:p>
        </w:tc>
        <w:tc>
          <w:tcPr>
            <w:tcW w:w="52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-.563</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&lt;0.00001</w:t>
            </w:r>
          </w:p>
        </w:tc>
        <w:tc>
          <w:tcPr>
            <w:tcW w:w="60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0.179761</w:t>
            </w:r>
          </w:p>
        </w:tc>
        <w:tc>
          <w:tcPr>
            <w:tcW w:w="546"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0.07352</w:t>
            </w:r>
          </w:p>
        </w:tc>
      </w:tr>
      <w:tr w:rsidR="00161ABC" w:rsidRPr="00161ABC" w:rsidTr="005B04A4">
        <w:trPr>
          <w:trHeight w:val="283"/>
          <w:jc w:val="center"/>
        </w:trPr>
        <w:tc>
          <w:tcPr>
            <w:cnfStyle w:val="001000000000" w:firstRow="0" w:lastRow="0" w:firstColumn="1" w:lastColumn="0" w:oddVBand="0" w:evenVBand="0" w:oddHBand="0" w:evenHBand="0" w:firstRowFirstColumn="0" w:firstRowLastColumn="0" w:lastRowFirstColumn="0" w:lastRowLastColumn="0"/>
            <w:tcW w:w="1675" w:type="pct"/>
            <w:noWrap/>
            <w:hideMark/>
          </w:tcPr>
          <w:p w:rsidR="00161ABC" w:rsidRPr="00161ABC" w:rsidRDefault="00161ABC" w:rsidP="005B04A4">
            <w:pPr>
              <w:pStyle w:val="ListParagraph"/>
              <w:numPr>
                <w:ilvl w:val="0"/>
                <w:numId w:val="22"/>
              </w:numPr>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DBP</w:t>
            </w:r>
          </w:p>
        </w:tc>
        <w:tc>
          <w:tcPr>
            <w:tcW w:w="54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0.095082</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0.3467</w:t>
            </w:r>
          </w:p>
        </w:tc>
        <w:tc>
          <w:tcPr>
            <w:tcW w:w="52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-.258</w:t>
            </w:r>
            <w:r w:rsidRPr="00161ABC">
              <w:rPr>
                <w:rFonts w:asciiTheme="majorBidi" w:eastAsia="Times New Roman" w:hAnsiTheme="majorBidi" w:cstheme="majorBidi"/>
                <w:sz w:val="28"/>
                <w:szCs w:val="28"/>
                <w:vertAlign w:val="superscript"/>
              </w:rPr>
              <w:t>**</w:t>
            </w:r>
          </w:p>
        </w:tc>
        <w:tc>
          <w:tcPr>
            <w:tcW w:w="552"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0.00959</w:t>
            </w:r>
          </w:p>
        </w:tc>
        <w:tc>
          <w:tcPr>
            <w:tcW w:w="60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0.147251</w:t>
            </w:r>
          </w:p>
        </w:tc>
        <w:tc>
          <w:tcPr>
            <w:tcW w:w="546"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0.14375</w:t>
            </w:r>
          </w:p>
        </w:tc>
      </w:tr>
    </w:tbl>
    <w:p w:rsidR="00161ABC" w:rsidRPr="005B04A4" w:rsidRDefault="00161ABC" w:rsidP="00161ABC">
      <w:pPr>
        <w:bidi w:val="0"/>
        <w:spacing w:line="360" w:lineRule="auto"/>
        <w:jc w:val="both"/>
        <w:rPr>
          <w:rFonts w:asciiTheme="majorBidi" w:hAnsiTheme="majorBidi" w:cstheme="majorBidi"/>
        </w:rPr>
      </w:pPr>
      <w:r w:rsidRPr="005B04A4">
        <w:rPr>
          <w:rFonts w:asciiTheme="majorBidi" w:hAnsiTheme="majorBidi" w:cstheme="majorBidi"/>
        </w:rPr>
        <w:t>R: Pearson correlation</w:t>
      </w:r>
    </w:p>
    <w:p w:rsidR="00161ABC" w:rsidRPr="00161ABC" w:rsidRDefault="00161ABC" w:rsidP="005B04A4">
      <w:pPr>
        <w:bidi w:val="0"/>
        <w:spacing w:line="24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1</w:t>
      </w:r>
      <w:r w:rsidR="00BC2B68">
        <w:rPr>
          <w:rFonts w:asciiTheme="majorBidi" w:hAnsiTheme="majorBidi" w:cstheme="majorBidi"/>
          <w:sz w:val="28"/>
          <w:szCs w:val="28"/>
        </w:rPr>
        <w:t>4</w:t>
      </w:r>
      <w:r w:rsidRPr="00161ABC">
        <w:rPr>
          <w:rFonts w:asciiTheme="majorBidi" w:hAnsiTheme="majorBidi" w:cstheme="majorBidi"/>
          <w:sz w:val="28"/>
          <w:szCs w:val="28"/>
        </w:rPr>
        <w:t>) showed that: Heart Rate (HR) had a statistically significant weak negative correlation with Medications/Drugs poisoning (r = -0.203, p = 0.046), a moderate positive correlation with Toxic/Poisonous Substances poisoning (r = 0.519, p &lt; 0.001), and a moderate negative correlation with Chemical Substances poisoning (r = -0.286, p = 0.002). Respiratory Rate (RR) had a statistically significant strong negative correlation with Medications/Drugs poisoning (r = -0.472, p &lt; 0.001) and a strong positive correlation with Toxic/Poisonous Substances poisoning (r = 0.573, p &lt; 0.001). Systolic Blood Pressure (SBP) showed a statistically significant moderate positive correlation with Medications/Drugs poisoning (r = 0.364, p &lt; 0.001) and a strong negative correlation with Toxic/Poisonous Substances poisoning (r = -0.563, p &lt; 0.001). Diastolic Blood Pressure (DBP) displayed a statistically significant weak positive correlation with Chemical Substances poisoning (r = 0.147, p = 0.104).</w:t>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lastRenderedPageBreak/>
        <w:t>Table (</w:t>
      </w:r>
      <w:r>
        <w:rPr>
          <w:rFonts w:asciiTheme="majorBidi" w:hAnsiTheme="majorBidi" w:cstheme="majorBidi"/>
          <w:sz w:val="28"/>
          <w:szCs w:val="28"/>
        </w:rPr>
        <w:t>1</w:t>
      </w:r>
      <w:r w:rsidR="00BC2B68">
        <w:rPr>
          <w:rFonts w:asciiTheme="majorBidi" w:hAnsiTheme="majorBidi" w:cstheme="majorBidi"/>
          <w:sz w:val="28"/>
          <w:szCs w:val="28"/>
        </w:rPr>
        <w:t>5</w:t>
      </w:r>
      <w:r w:rsidRPr="00161ABC">
        <w:rPr>
          <w:rFonts w:asciiTheme="majorBidi" w:hAnsiTheme="majorBidi" w:cstheme="majorBidi"/>
          <w:sz w:val="28"/>
          <w:szCs w:val="28"/>
        </w:rPr>
        <w:t>): correlation between outcomes</w:t>
      </w:r>
      <w:r w:rsidRPr="00161ABC">
        <w:rPr>
          <w:rFonts w:asciiTheme="majorBidi" w:eastAsia="Times New Roman" w:hAnsiTheme="majorBidi" w:cstheme="majorBidi"/>
          <w:sz w:val="28"/>
          <w:szCs w:val="28"/>
        </w:rPr>
        <w:t xml:space="preserve"> with Age</w:t>
      </w:r>
    </w:p>
    <w:tbl>
      <w:tblPr>
        <w:tblStyle w:val="GridTable4-Accent11"/>
        <w:tblW w:w="5000" w:type="pct"/>
        <w:jc w:val="center"/>
        <w:tblLook w:val="04A0" w:firstRow="1" w:lastRow="0" w:firstColumn="1" w:lastColumn="0" w:noHBand="0" w:noVBand="1"/>
      </w:tblPr>
      <w:tblGrid>
        <w:gridCol w:w="3776"/>
        <w:gridCol w:w="1532"/>
        <w:gridCol w:w="1369"/>
        <w:gridCol w:w="1532"/>
        <w:gridCol w:w="1367"/>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line="360" w:lineRule="auto"/>
              <w:jc w:val="both"/>
              <w:rPr>
                <w:rFonts w:asciiTheme="majorBidi" w:eastAsia="Times New Roman" w:hAnsiTheme="majorBidi" w:cstheme="majorBidi"/>
                <w:color w:val="auto"/>
                <w:sz w:val="28"/>
                <w:szCs w:val="28"/>
              </w:rPr>
            </w:pPr>
          </w:p>
        </w:tc>
        <w:tc>
          <w:tcPr>
            <w:tcW w:w="1515" w:type="pct"/>
            <w:gridSpan w:val="2"/>
            <w:noWrap/>
            <w:hideMark/>
          </w:tcPr>
          <w:p w:rsidR="00161ABC" w:rsidRPr="00161ABC" w:rsidRDefault="00161ABC" w:rsidP="005B04A4">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ICU</w:t>
            </w:r>
          </w:p>
        </w:tc>
        <w:tc>
          <w:tcPr>
            <w:tcW w:w="1514" w:type="pct"/>
            <w:gridSpan w:val="2"/>
            <w:noWrap/>
            <w:hideMark/>
          </w:tcPr>
          <w:p w:rsidR="00161ABC" w:rsidRPr="00161ABC" w:rsidRDefault="00161ABC" w:rsidP="005B04A4">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Time till discharge</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line="360" w:lineRule="auto"/>
              <w:jc w:val="both"/>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715"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c>
          <w:tcPr>
            <w:tcW w:w="800"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714"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line="36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Age</w:t>
            </w:r>
          </w:p>
        </w:tc>
        <w:tc>
          <w:tcPr>
            <w:tcW w:w="800"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-0.08936</w:t>
            </w:r>
          </w:p>
        </w:tc>
        <w:tc>
          <w:tcPr>
            <w:tcW w:w="715"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0.3766</w:t>
            </w:r>
          </w:p>
        </w:tc>
        <w:tc>
          <w:tcPr>
            <w:tcW w:w="800"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-.255</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0.01051</w:t>
            </w:r>
          </w:p>
        </w:tc>
      </w:tr>
    </w:tbl>
    <w:p w:rsidR="00161ABC" w:rsidRPr="005B04A4" w:rsidRDefault="00161ABC" w:rsidP="00161ABC">
      <w:pPr>
        <w:bidi w:val="0"/>
        <w:spacing w:line="360" w:lineRule="auto"/>
        <w:jc w:val="both"/>
        <w:rPr>
          <w:rFonts w:asciiTheme="majorBidi" w:hAnsiTheme="majorBidi" w:cstheme="majorBidi"/>
        </w:rPr>
      </w:pPr>
      <w:r w:rsidRPr="005B04A4">
        <w:rPr>
          <w:rFonts w:asciiTheme="majorBidi" w:hAnsiTheme="majorBidi" w:cstheme="majorBidi"/>
        </w:rPr>
        <w:t>R: Pearson correlation</w:t>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 xml:space="preserve">There was significant negative correlation between </w:t>
      </w:r>
      <w:r w:rsidRPr="00161ABC">
        <w:rPr>
          <w:rFonts w:asciiTheme="majorBidi" w:eastAsia="Times New Roman" w:hAnsiTheme="majorBidi" w:cstheme="majorBidi"/>
          <w:sz w:val="28"/>
          <w:szCs w:val="28"/>
        </w:rPr>
        <w:t>Time till discharge and age.</w:t>
      </w:r>
    </w:p>
    <w:p w:rsidR="00161ABC" w:rsidRPr="00161ABC" w:rsidRDefault="00161ABC" w:rsidP="00161ABC">
      <w:pPr>
        <w:bidi w:val="0"/>
        <w:spacing w:line="360" w:lineRule="auto"/>
        <w:jc w:val="both"/>
        <w:rPr>
          <w:rFonts w:asciiTheme="majorBidi" w:hAnsiTheme="majorBidi" w:cstheme="majorBidi"/>
          <w:sz w:val="28"/>
          <w:szCs w:val="28"/>
          <w:rtl/>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Pr>
          <w:rFonts w:asciiTheme="majorBidi" w:hAnsiTheme="majorBidi" w:cstheme="majorBidi"/>
          <w:sz w:val="28"/>
          <w:szCs w:val="28"/>
        </w:rPr>
        <w:t>1</w:t>
      </w:r>
      <w:r w:rsidR="00BC2B68">
        <w:rPr>
          <w:rFonts w:asciiTheme="majorBidi" w:hAnsiTheme="majorBidi" w:cstheme="majorBidi"/>
          <w:sz w:val="28"/>
          <w:szCs w:val="28"/>
        </w:rPr>
        <w:t>6</w:t>
      </w:r>
      <w:r w:rsidRPr="00161ABC">
        <w:rPr>
          <w:rFonts w:asciiTheme="majorBidi" w:hAnsiTheme="majorBidi" w:cstheme="majorBidi"/>
          <w:sz w:val="28"/>
          <w:szCs w:val="28"/>
        </w:rPr>
        <w:t>): correlation between outcomes</w:t>
      </w:r>
      <w:r w:rsidRPr="00161ABC">
        <w:rPr>
          <w:rFonts w:asciiTheme="majorBidi" w:eastAsia="Times New Roman" w:hAnsiTheme="majorBidi" w:cstheme="majorBidi"/>
          <w:sz w:val="28"/>
          <w:szCs w:val="28"/>
        </w:rPr>
        <w:t xml:space="preserve"> with sex</w:t>
      </w:r>
    </w:p>
    <w:tbl>
      <w:tblPr>
        <w:tblStyle w:val="GridTable4-Accent11"/>
        <w:tblW w:w="5000" w:type="pct"/>
        <w:jc w:val="center"/>
        <w:tblLook w:val="04A0" w:firstRow="1" w:lastRow="0" w:firstColumn="1" w:lastColumn="0" w:noHBand="0" w:noVBand="1"/>
      </w:tblPr>
      <w:tblGrid>
        <w:gridCol w:w="3776"/>
        <w:gridCol w:w="1532"/>
        <w:gridCol w:w="1369"/>
        <w:gridCol w:w="1532"/>
        <w:gridCol w:w="1367"/>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line="360" w:lineRule="auto"/>
              <w:jc w:val="both"/>
              <w:rPr>
                <w:rFonts w:asciiTheme="majorBidi" w:eastAsia="Times New Roman" w:hAnsiTheme="majorBidi" w:cstheme="majorBidi"/>
                <w:color w:val="auto"/>
                <w:sz w:val="28"/>
                <w:szCs w:val="28"/>
              </w:rPr>
            </w:pPr>
          </w:p>
        </w:tc>
        <w:tc>
          <w:tcPr>
            <w:tcW w:w="1515" w:type="pct"/>
            <w:gridSpan w:val="2"/>
            <w:noWrap/>
            <w:hideMark/>
          </w:tcPr>
          <w:p w:rsidR="00161ABC" w:rsidRPr="00161ABC" w:rsidRDefault="00161ABC" w:rsidP="005B04A4">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ICU</w:t>
            </w:r>
          </w:p>
        </w:tc>
        <w:tc>
          <w:tcPr>
            <w:tcW w:w="1514" w:type="pct"/>
            <w:gridSpan w:val="2"/>
            <w:noWrap/>
            <w:hideMark/>
          </w:tcPr>
          <w:p w:rsidR="00161ABC" w:rsidRPr="00161ABC" w:rsidRDefault="00161ABC" w:rsidP="005B04A4">
            <w:pPr>
              <w:bidi w:val="0"/>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Time till discharge</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line="360" w:lineRule="auto"/>
              <w:jc w:val="both"/>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715"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c>
          <w:tcPr>
            <w:tcW w:w="800"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714"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line="36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Sex</w:t>
            </w:r>
          </w:p>
        </w:tc>
        <w:tc>
          <w:tcPr>
            <w:tcW w:w="800"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715"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714"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line="36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Male</w:t>
            </w:r>
          </w:p>
        </w:tc>
        <w:tc>
          <w:tcPr>
            <w:tcW w:w="800"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0.020565</w:t>
            </w:r>
          </w:p>
        </w:tc>
        <w:tc>
          <w:tcPr>
            <w:tcW w:w="715"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0.83907</w:t>
            </w:r>
          </w:p>
        </w:tc>
        <w:tc>
          <w:tcPr>
            <w:tcW w:w="800"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-.265</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0.00779</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line="36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Female</w:t>
            </w:r>
          </w:p>
        </w:tc>
        <w:tc>
          <w:tcPr>
            <w:tcW w:w="800"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-0.02056</w:t>
            </w:r>
          </w:p>
        </w:tc>
        <w:tc>
          <w:tcPr>
            <w:tcW w:w="715"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0.83907</w:t>
            </w:r>
          </w:p>
        </w:tc>
        <w:tc>
          <w:tcPr>
            <w:tcW w:w="800"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.265</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0.00779</w:t>
            </w:r>
          </w:p>
        </w:tc>
      </w:tr>
    </w:tbl>
    <w:p w:rsidR="00161ABC" w:rsidRPr="005B04A4" w:rsidRDefault="00161ABC" w:rsidP="00161ABC">
      <w:pPr>
        <w:bidi w:val="0"/>
        <w:spacing w:line="360" w:lineRule="auto"/>
        <w:jc w:val="both"/>
        <w:rPr>
          <w:rFonts w:asciiTheme="majorBidi" w:hAnsiTheme="majorBidi" w:cstheme="majorBidi"/>
        </w:rPr>
      </w:pPr>
      <w:r w:rsidRPr="005B04A4">
        <w:rPr>
          <w:rFonts w:asciiTheme="majorBidi" w:hAnsiTheme="majorBidi" w:cstheme="majorBidi"/>
        </w:rPr>
        <w:t>R: Pearson correlation</w:t>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 xml:space="preserve">There was significant negative correlation between </w:t>
      </w:r>
      <w:r w:rsidRPr="00161ABC">
        <w:rPr>
          <w:rFonts w:asciiTheme="majorBidi" w:eastAsia="Times New Roman" w:hAnsiTheme="majorBidi" w:cstheme="majorBidi"/>
          <w:sz w:val="28"/>
          <w:szCs w:val="28"/>
        </w:rPr>
        <w:t>Time till discharge and male gender.</w:t>
      </w:r>
    </w:p>
    <w:p w:rsidR="00161ABC" w:rsidRDefault="00161ABC" w:rsidP="00161ABC">
      <w:pPr>
        <w:bidi w:val="0"/>
        <w:spacing w:line="360" w:lineRule="auto"/>
        <w:jc w:val="both"/>
        <w:rPr>
          <w:rFonts w:asciiTheme="majorBidi" w:hAnsiTheme="majorBidi" w:cstheme="majorBidi"/>
          <w:sz w:val="28"/>
          <w:szCs w:val="28"/>
        </w:rPr>
      </w:pPr>
    </w:p>
    <w:p w:rsidR="005B04A4" w:rsidRDefault="005B04A4" w:rsidP="005B04A4">
      <w:pPr>
        <w:bidi w:val="0"/>
        <w:spacing w:line="360" w:lineRule="auto"/>
        <w:jc w:val="both"/>
        <w:rPr>
          <w:rFonts w:asciiTheme="majorBidi" w:hAnsiTheme="majorBidi" w:cstheme="majorBidi"/>
          <w:sz w:val="28"/>
          <w:szCs w:val="28"/>
        </w:rPr>
      </w:pPr>
    </w:p>
    <w:p w:rsidR="005B04A4" w:rsidRPr="00161ABC" w:rsidRDefault="005B04A4" w:rsidP="005B04A4">
      <w:pPr>
        <w:bidi w:val="0"/>
        <w:spacing w:line="360" w:lineRule="auto"/>
        <w:jc w:val="both"/>
        <w:rPr>
          <w:rFonts w:asciiTheme="majorBidi" w:hAnsiTheme="majorBidi" w:cstheme="majorBidi"/>
          <w:sz w:val="28"/>
          <w:szCs w:val="28"/>
          <w:rtl/>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lastRenderedPageBreak/>
        <w:t>Table (</w:t>
      </w:r>
      <w:r>
        <w:rPr>
          <w:rFonts w:asciiTheme="majorBidi" w:hAnsiTheme="majorBidi" w:cstheme="majorBidi"/>
          <w:sz w:val="28"/>
          <w:szCs w:val="28"/>
        </w:rPr>
        <w:t>1</w:t>
      </w:r>
      <w:r w:rsidR="00BC2B68">
        <w:rPr>
          <w:rFonts w:asciiTheme="majorBidi" w:hAnsiTheme="majorBidi" w:cstheme="majorBidi"/>
          <w:sz w:val="28"/>
          <w:szCs w:val="28"/>
        </w:rPr>
        <w:t>7</w:t>
      </w:r>
      <w:r w:rsidRPr="00161ABC">
        <w:rPr>
          <w:rFonts w:asciiTheme="majorBidi" w:hAnsiTheme="majorBidi" w:cstheme="majorBidi"/>
          <w:sz w:val="28"/>
          <w:szCs w:val="28"/>
        </w:rPr>
        <w:t>): correlation between outcomes</w:t>
      </w:r>
      <w:r w:rsidRPr="00161ABC">
        <w:rPr>
          <w:rFonts w:asciiTheme="majorBidi" w:eastAsia="Times New Roman" w:hAnsiTheme="majorBidi" w:cstheme="majorBidi"/>
          <w:sz w:val="28"/>
          <w:szCs w:val="28"/>
        </w:rPr>
        <w:t xml:space="preserve"> with vitals</w:t>
      </w:r>
    </w:p>
    <w:tbl>
      <w:tblPr>
        <w:tblStyle w:val="GridTable4-Accent11"/>
        <w:tblW w:w="5000" w:type="pct"/>
        <w:jc w:val="center"/>
        <w:tblLook w:val="04A0" w:firstRow="1" w:lastRow="0" w:firstColumn="1" w:lastColumn="0" w:noHBand="0" w:noVBand="1"/>
      </w:tblPr>
      <w:tblGrid>
        <w:gridCol w:w="3776"/>
        <w:gridCol w:w="1532"/>
        <w:gridCol w:w="1369"/>
        <w:gridCol w:w="1532"/>
        <w:gridCol w:w="1367"/>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color w:val="auto"/>
                <w:sz w:val="28"/>
                <w:szCs w:val="28"/>
              </w:rPr>
            </w:pPr>
          </w:p>
        </w:tc>
        <w:tc>
          <w:tcPr>
            <w:tcW w:w="1515"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ICU</w:t>
            </w:r>
          </w:p>
        </w:tc>
        <w:tc>
          <w:tcPr>
            <w:tcW w:w="1514"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Time till discharge</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Vitals</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HR</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0.126352</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0.21033</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.403</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0.00003</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RR</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-0.05383</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0.5948</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.399</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0.00004</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Blood pressure</w:t>
            </w:r>
          </w:p>
        </w:tc>
        <w:tc>
          <w:tcPr>
            <w:tcW w:w="800"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715"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800"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714" w:type="pct"/>
            <w:noWrap/>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42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SBP</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-.305</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0.00206</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-.624</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&lt;0.0001</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42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DBP</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-.387</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0.00007</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-.204</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0.04213</w:t>
            </w:r>
          </w:p>
        </w:tc>
      </w:tr>
    </w:tbl>
    <w:p w:rsidR="00161ABC" w:rsidRPr="005B04A4" w:rsidRDefault="00161ABC" w:rsidP="00161ABC">
      <w:pPr>
        <w:bidi w:val="0"/>
        <w:spacing w:line="360" w:lineRule="auto"/>
        <w:jc w:val="both"/>
        <w:rPr>
          <w:rFonts w:asciiTheme="majorBidi" w:hAnsiTheme="majorBidi" w:cstheme="majorBidi"/>
        </w:rPr>
      </w:pPr>
      <w:r w:rsidRPr="005B04A4">
        <w:rPr>
          <w:rFonts w:asciiTheme="majorBidi" w:hAnsiTheme="majorBidi" w:cstheme="majorBidi"/>
        </w:rPr>
        <w:t>R: Pearson correlation</w:t>
      </w:r>
    </w:p>
    <w:p w:rsidR="00161ABC" w:rsidRPr="00161ABC" w:rsidRDefault="00161ABC" w:rsidP="00161ABC">
      <w:pPr>
        <w:bidi w:val="0"/>
        <w:spacing w:line="360" w:lineRule="auto"/>
        <w:jc w:val="both"/>
        <w:rPr>
          <w:rFonts w:asciiTheme="majorBidi" w:eastAsia="Times New Roman" w:hAnsiTheme="majorBidi" w:cstheme="majorBidi"/>
          <w:sz w:val="28"/>
          <w:szCs w:val="28"/>
        </w:rPr>
      </w:pPr>
      <w:r w:rsidRPr="00161ABC">
        <w:rPr>
          <w:rFonts w:asciiTheme="majorBidi" w:hAnsiTheme="majorBidi" w:cstheme="majorBidi"/>
          <w:sz w:val="28"/>
          <w:szCs w:val="28"/>
        </w:rPr>
        <w:t xml:space="preserve">HR and RR showed significant positive correlation with </w:t>
      </w:r>
      <w:r w:rsidRPr="00161ABC">
        <w:rPr>
          <w:rFonts w:asciiTheme="majorBidi" w:eastAsia="Times New Roman" w:hAnsiTheme="majorBidi" w:cstheme="majorBidi"/>
          <w:sz w:val="28"/>
          <w:szCs w:val="28"/>
        </w:rPr>
        <w:t>Time till discharge.</w:t>
      </w: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eastAsia="Times New Roman" w:hAnsiTheme="majorBidi" w:cstheme="majorBidi"/>
          <w:sz w:val="28"/>
          <w:szCs w:val="28"/>
        </w:rPr>
        <w:t xml:space="preserve">Systolic And Diastolic Blood pressure showed significant negative correlation with both ICU admission </w:t>
      </w:r>
      <w:proofErr w:type="gramStart"/>
      <w:r w:rsidRPr="00161ABC">
        <w:rPr>
          <w:rFonts w:asciiTheme="majorBidi" w:eastAsia="Times New Roman" w:hAnsiTheme="majorBidi" w:cstheme="majorBidi"/>
          <w:sz w:val="28"/>
          <w:szCs w:val="28"/>
        </w:rPr>
        <w:t>and  Time</w:t>
      </w:r>
      <w:proofErr w:type="gramEnd"/>
      <w:r w:rsidRPr="00161ABC">
        <w:rPr>
          <w:rFonts w:asciiTheme="majorBidi" w:eastAsia="Times New Roman" w:hAnsiTheme="majorBidi" w:cstheme="majorBidi"/>
          <w:sz w:val="28"/>
          <w:szCs w:val="28"/>
        </w:rPr>
        <w:t xml:space="preserve"> till discharge.</w:t>
      </w:r>
    </w:p>
    <w:p w:rsidR="00161ABC" w:rsidRPr="00161ABC" w:rsidRDefault="00161ABC" w:rsidP="00161ABC">
      <w:pPr>
        <w:bidi w:val="0"/>
        <w:spacing w:line="360" w:lineRule="auto"/>
        <w:jc w:val="both"/>
        <w:rPr>
          <w:rFonts w:asciiTheme="majorBidi" w:hAnsiTheme="majorBidi" w:cstheme="majorBidi"/>
          <w:sz w:val="28"/>
          <w:szCs w:val="28"/>
          <w:rtl/>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Table (</w:t>
      </w:r>
      <w:r w:rsidR="00BC2B68">
        <w:rPr>
          <w:rFonts w:asciiTheme="majorBidi" w:hAnsiTheme="majorBidi" w:cstheme="majorBidi"/>
          <w:sz w:val="28"/>
          <w:szCs w:val="28"/>
        </w:rPr>
        <w:t>18</w:t>
      </w:r>
      <w:r w:rsidRPr="00161ABC">
        <w:rPr>
          <w:rFonts w:asciiTheme="majorBidi" w:hAnsiTheme="majorBidi" w:cstheme="majorBidi"/>
          <w:sz w:val="28"/>
          <w:szCs w:val="28"/>
        </w:rPr>
        <w:t>): correlation between outcomes</w:t>
      </w:r>
      <w:r w:rsidRPr="00161ABC">
        <w:rPr>
          <w:rFonts w:asciiTheme="majorBidi" w:eastAsia="Times New Roman" w:hAnsiTheme="majorBidi" w:cstheme="majorBidi"/>
          <w:sz w:val="28"/>
          <w:szCs w:val="28"/>
        </w:rPr>
        <w:t xml:space="preserve"> with kidney and liver function test</w:t>
      </w:r>
    </w:p>
    <w:tbl>
      <w:tblPr>
        <w:tblStyle w:val="GridTable4-Accent11"/>
        <w:tblW w:w="5000" w:type="pct"/>
        <w:jc w:val="center"/>
        <w:tblLook w:val="04A0" w:firstRow="1" w:lastRow="0" w:firstColumn="1" w:lastColumn="0" w:noHBand="0" w:noVBand="1"/>
      </w:tblPr>
      <w:tblGrid>
        <w:gridCol w:w="3776"/>
        <w:gridCol w:w="1532"/>
        <w:gridCol w:w="1369"/>
        <w:gridCol w:w="1532"/>
        <w:gridCol w:w="1367"/>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color w:val="auto"/>
                <w:sz w:val="28"/>
                <w:szCs w:val="28"/>
              </w:rPr>
            </w:pPr>
          </w:p>
        </w:tc>
        <w:tc>
          <w:tcPr>
            <w:tcW w:w="1515"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ICU</w:t>
            </w:r>
          </w:p>
        </w:tc>
        <w:tc>
          <w:tcPr>
            <w:tcW w:w="1514"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Time till discharge</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2771" w:type="pct"/>
            <w:gridSpan w:val="2"/>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Renal Function</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Creatinine</w:t>
            </w:r>
            <w:proofErr w:type="spellEnd"/>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.387</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0.00007</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.278</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0.00515</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Urea</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-0.07245</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0.47378</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-.231</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0.02052</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771" w:type="pct"/>
            <w:gridSpan w:val="2"/>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liver function</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ALT</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0.145218</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0.14942</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-.300</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0.00239</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AST</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0.037738</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0.70932</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-.378</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0.00011</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Total Bilirubin</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-0.00472</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0.96281</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0.032439</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0.74867</w:t>
            </w:r>
          </w:p>
        </w:tc>
      </w:tr>
    </w:tbl>
    <w:p w:rsidR="00161ABC" w:rsidRPr="005B04A4" w:rsidRDefault="00161ABC" w:rsidP="00161ABC">
      <w:pPr>
        <w:bidi w:val="0"/>
        <w:spacing w:line="360" w:lineRule="auto"/>
        <w:jc w:val="both"/>
        <w:rPr>
          <w:rFonts w:asciiTheme="majorBidi" w:hAnsiTheme="majorBidi" w:cstheme="majorBidi"/>
        </w:rPr>
      </w:pPr>
      <w:r w:rsidRPr="005B04A4">
        <w:rPr>
          <w:rFonts w:asciiTheme="majorBidi" w:hAnsiTheme="majorBidi" w:cstheme="majorBidi"/>
        </w:rPr>
        <w:t>R: Pearson correlation</w:t>
      </w:r>
    </w:p>
    <w:p w:rsidR="00161ABC" w:rsidRPr="00161ABC" w:rsidRDefault="00161ABC" w:rsidP="00161ABC">
      <w:pPr>
        <w:bidi w:val="0"/>
        <w:spacing w:line="360" w:lineRule="auto"/>
        <w:jc w:val="both"/>
        <w:rPr>
          <w:rFonts w:asciiTheme="majorBidi" w:hAnsiTheme="majorBidi" w:cstheme="majorBidi"/>
          <w:sz w:val="28"/>
          <w:szCs w:val="28"/>
        </w:rPr>
      </w:pPr>
      <w:proofErr w:type="spellStart"/>
      <w:r w:rsidRPr="00161ABC">
        <w:rPr>
          <w:rFonts w:asciiTheme="majorBidi" w:hAnsiTheme="majorBidi" w:cstheme="majorBidi"/>
          <w:sz w:val="28"/>
          <w:szCs w:val="28"/>
        </w:rPr>
        <w:t>Creatinine</w:t>
      </w:r>
      <w:proofErr w:type="spellEnd"/>
      <w:r w:rsidRPr="00161ABC">
        <w:rPr>
          <w:rFonts w:asciiTheme="majorBidi" w:hAnsiTheme="majorBidi" w:cstheme="majorBidi"/>
          <w:sz w:val="28"/>
          <w:szCs w:val="28"/>
        </w:rPr>
        <w:t xml:space="preserve"> level was significantly associated with ICU admission and </w:t>
      </w:r>
      <w:r w:rsidRPr="00161ABC">
        <w:rPr>
          <w:rFonts w:asciiTheme="majorBidi" w:eastAsia="Times New Roman" w:hAnsiTheme="majorBidi" w:cstheme="majorBidi"/>
          <w:sz w:val="28"/>
          <w:szCs w:val="28"/>
        </w:rPr>
        <w:t>Time till discharge. Urea, ALT and AST were significantly negatively associated with Time till discharge.</w:t>
      </w:r>
    </w:p>
    <w:p w:rsidR="00161ABC" w:rsidRPr="00161ABC" w:rsidRDefault="00161ABC" w:rsidP="00161ABC">
      <w:pPr>
        <w:bidi w:val="0"/>
        <w:spacing w:line="360" w:lineRule="auto"/>
        <w:jc w:val="both"/>
        <w:rPr>
          <w:rFonts w:asciiTheme="majorBidi" w:hAnsiTheme="majorBidi" w:cstheme="majorBidi"/>
          <w:sz w:val="28"/>
          <w:szCs w:val="28"/>
          <w:rtl/>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lastRenderedPageBreak/>
        <w:t>Table (</w:t>
      </w:r>
      <w:r w:rsidR="00BC2B68">
        <w:rPr>
          <w:rFonts w:asciiTheme="majorBidi" w:hAnsiTheme="majorBidi" w:cstheme="majorBidi"/>
          <w:sz w:val="28"/>
          <w:szCs w:val="28"/>
        </w:rPr>
        <w:t>19</w:t>
      </w:r>
      <w:r w:rsidRPr="00161ABC">
        <w:rPr>
          <w:rFonts w:asciiTheme="majorBidi" w:hAnsiTheme="majorBidi" w:cstheme="majorBidi"/>
          <w:sz w:val="28"/>
          <w:szCs w:val="28"/>
        </w:rPr>
        <w:t>): correlation between outcomes</w:t>
      </w:r>
      <w:r w:rsidRPr="00161ABC">
        <w:rPr>
          <w:rFonts w:asciiTheme="majorBidi" w:eastAsia="Times New Roman" w:hAnsiTheme="majorBidi" w:cstheme="majorBidi"/>
          <w:sz w:val="28"/>
          <w:szCs w:val="28"/>
        </w:rPr>
        <w:t xml:space="preserve"> with other parameters</w:t>
      </w:r>
    </w:p>
    <w:tbl>
      <w:tblPr>
        <w:tblStyle w:val="GridTable4-Accent11"/>
        <w:tblW w:w="5000" w:type="pct"/>
        <w:jc w:val="center"/>
        <w:tblLook w:val="04A0" w:firstRow="1" w:lastRow="0" w:firstColumn="1" w:lastColumn="0" w:noHBand="0" w:noVBand="1"/>
      </w:tblPr>
      <w:tblGrid>
        <w:gridCol w:w="3794"/>
        <w:gridCol w:w="1527"/>
        <w:gridCol w:w="1364"/>
        <w:gridCol w:w="1528"/>
        <w:gridCol w:w="1363"/>
      </w:tblGrid>
      <w:tr w:rsidR="00161ABC" w:rsidRPr="00161ABC" w:rsidTr="005B04A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color w:val="auto"/>
                <w:sz w:val="28"/>
                <w:szCs w:val="28"/>
              </w:rPr>
            </w:pPr>
          </w:p>
        </w:tc>
        <w:tc>
          <w:tcPr>
            <w:tcW w:w="1515"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ICU</w:t>
            </w:r>
          </w:p>
        </w:tc>
        <w:tc>
          <w:tcPr>
            <w:tcW w:w="1514" w:type="pct"/>
            <w:gridSpan w:val="2"/>
            <w:noWrap/>
            <w:hideMark/>
          </w:tcPr>
          <w:p w:rsidR="00161ABC" w:rsidRPr="00161ABC" w:rsidRDefault="00161ABC" w:rsidP="005B04A4">
            <w:pPr>
              <w:bidi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8"/>
                <w:szCs w:val="28"/>
              </w:rPr>
            </w:pPr>
            <w:r w:rsidRPr="00161ABC">
              <w:rPr>
                <w:rFonts w:asciiTheme="majorBidi" w:eastAsia="Times New Roman" w:hAnsiTheme="majorBidi" w:cstheme="majorBidi"/>
                <w:color w:val="auto"/>
                <w:sz w:val="28"/>
                <w:szCs w:val="28"/>
              </w:rPr>
              <w:t>Time till discharge</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 Value</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Weight</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-0.09889</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0.32764</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-.441</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&lt;0.0001</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residence</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Urban</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0.001638</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0.98709</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-.479</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&lt;0.0001</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Rural</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-0.00164</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0.98709</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.479</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&lt;0.0001</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2771" w:type="pct"/>
            <w:gridSpan w:val="2"/>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type of poison</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Medications/Drugs</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-.553</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&lt;0.0001</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-.421</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0.00001</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Toxic/Poisonous Substances</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.232</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0.02002</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.849</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&lt;0.0001</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Chemical Substances</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.292</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0.00325</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-.377</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0.00011</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Delay</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-.525</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&lt;0.0001</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0.124451</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0.21733</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CBC</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proofErr w:type="spellStart"/>
            <w:r w:rsidRPr="00161ABC">
              <w:rPr>
                <w:rFonts w:asciiTheme="majorBidi" w:eastAsia="Times New Roman" w:hAnsiTheme="majorBidi" w:cstheme="majorBidi"/>
                <w:sz w:val="28"/>
                <w:szCs w:val="28"/>
              </w:rPr>
              <w:t>Hb</w:t>
            </w:r>
            <w:proofErr w:type="spellEnd"/>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-.378</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0.0001</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-0.18819</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0.06079</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WBCs</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0.146991</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0.14446</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-0.03419</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0.73561</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RBCs</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-.213</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0.03327</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-0.13343</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0.18567</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MCV</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.316</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0.00138</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.276</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0.00541</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MCH</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-0.05872</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0.5617</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-0.02521</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0.80341</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ABG</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PH</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.205</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0.04103</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0.105693</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0.29529</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PaO2</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-0.14339</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0.15466</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-.252</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0.0114</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PaCo2</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0.154145</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0.12571</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-.222</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0.02667</w:t>
            </w: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HCo3</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0.128664</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0.20204</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-.300</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0.00242</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2771" w:type="pct"/>
            <w:gridSpan w:val="2"/>
            <w:noWrap/>
            <w:hideMark/>
          </w:tcPr>
          <w:p w:rsidR="00161ABC" w:rsidRPr="00161ABC" w:rsidRDefault="00161ABC" w:rsidP="005B04A4">
            <w:pPr>
              <w:bidi w:val="0"/>
              <w:spacing w:after="0" w:line="240" w:lineRule="auto"/>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Serum electrolytes</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p>
        </w:tc>
      </w:tr>
      <w:tr w:rsidR="00161ABC" w:rsidRPr="00161ABC" w:rsidTr="005B04A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Na</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0.147877</w:t>
            </w:r>
          </w:p>
        </w:tc>
        <w:tc>
          <w:tcPr>
            <w:tcW w:w="715"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0.14203</w:t>
            </w:r>
          </w:p>
        </w:tc>
        <w:tc>
          <w:tcPr>
            <w:tcW w:w="800"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0.041682</w:t>
            </w:r>
          </w:p>
        </w:tc>
        <w:tc>
          <w:tcPr>
            <w:tcW w:w="714" w:type="pct"/>
            <w:noWrap/>
            <w:hideMark/>
          </w:tcPr>
          <w:p w:rsidR="00161ABC" w:rsidRPr="00161ABC" w:rsidRDefault="00161ABC" w:rsidP="005B04A4">
            <w:pPr>
              <w:bidi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0.68052</w:t>
            </w:r>
          </w:p>
        </w:tc>
      </w:tr>
      <w:tr w:rsidR="00161ABC" w:rsidRPr="00161ABC" w:rsidTr="005B04A4">
        <w:trPr>
          <w:trHeight w:val="288"/>
          <w:jc w:val="center"/>
        </w:trPr>
        <w:tc>
          <w:tcPr>
            <w:cnfStyle w:val="001000000000" w:firstRow="0" w:lastRow="0" w:firstColumn="1" w:lastColumn="0" w:oddVBand="0" w:evenVBand="0" w:oddHBand="0" w:evenHBand="0" w:firstRowFirstColumn="0" w:firstRowLastColumn="0" w:lastRowFirstColumn="0" w:lastRowLastColumn="0"/>
            <w:tcW w:w="1971" w:type="pct"/>
            <w:noWrap/>
            <w:hideMark/>
          </w:tcPr>
          <w:p w:rsidR="00161ABC" w:rsidRPr="00161ABC" w:rsidRDefault="00161ABC" w:rsidP="005B04A4">
            <w:pPr>
              <w:bidi w:val="0"/>
              <w:spacing w:after="0" w:line="240" w:lineRule="auto"/>
              <w:ind w:left="240"/>
              <w:jc w:val="both"/>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K</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.366</w:t>
            </w:r>
            <w:r w:rsidRPr="00161ABC">
              <w:rPr>
                <w:rFonts w:asciiTheme="majorBidi" w:eastAsia="Times New Roman" w:hAnsiTheme="majorBidi" w:cstheme="majorBidi"/>
                <w:sz w:val="28"/>
                <w:szCs w:val="28"/>
                <w:vertAlign w:val="superscript"/>
              </w:rPr>
              <w:t>**</w:t>
            </w:r>
          </w:p>
        </w:tc>
        <w:tc>
          <w:tcPr>
            <w:tcW w:w="715"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0.00018</w:t>
            </w:r>
          </w:p>
        </w:tc>
        <w:tc>
          <w:tcPr>
            <w:tcW w:w="800"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.200</w:t>
            </w:r>
            <w:r w:rsidRPr="00161ABC">
              <w:rPr>
                <w:rFonts w:asciiTheme="majorBidi" w:eastAsia="Times New Roman" w:hAnsiTheme="majorBidi" w:cstheme="majorBidi"/>
                <w:sz w:val="28"/>
                <w:szCs w:val="28"/>
                <w:vertAlign w:val="superscript"/>
              </w:rPr>
              <w:t>*</w:t>
            </w:r>
          </w:p>
        </w:tc>
        <w:tc>
          <w:tcPr>
            <w:tcW w:w="714" w:type="pct"/>
            <w:noWrap/>
            <w:hideMark/>
          </w:tcPr>
          <w:p w:rsidR="00161ABC" w:rsidRPr="00161ABC" w:rsidRDefault="00161ABC" w:rsidP="005B04A4">
            <w:pPr>
              <w:bidi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8"/>
                <w:szCs w:val="28"/>
              </w:rPr>
            </w:pPr>
            <w:r w:rsidRPr="00161ABC">
              <w:rPr>
                <w:rFonts w:asciiTheme="majorBidi" w:eastAsia="Times New Roman" w:hAnsiTheme="majorBidi" w:cstheme="majorBidi"/>
                <w:sz w:val="28"/>
                <w:szCs w:val="28"/>
              </w:rPr>
              <w:t>0.04565</w:t>
            </w:r>
          </w:p>
        </w:tc>
      </w:tr>
    </w:tbl>
    <w:p w:rsidR="00161ABC" w:rsidRDefault="00161ABC" w:rsidP="00161ABC">
      <w:pPr>
        <w:bidi w:val="0"/>
        <w:spacing w:line="360" w:lineRule="auto"/>
        <w:jc w:val="both"/>
        <w:rPr>
          <w:rFonts w:asciiTheme="majorBidi" w:hAnsiTheme="majorBidi" w:cstheme="majorBidi"/>
        </w:rPr>
      </w:pPr>
      <w:r w:rsidRPr="005B04A4">
        <w:rPr>
          <w:rFonts w:asciiTheme="majorBidi" w:hAnsiTheme="majorBidi" w:cstheme="majorBidi"/>
        </w:rPr>
        <w:t>R: Pearson correlation</w:t>
      </w:r>
    </w:p>
    <w:p w:rsidR="005B04A4" w:rsidRPr="005B04A4" w:rsidRDefault="005B04A4" w:rsidP="005B04A4">
      <w:pPr>
        <w:bidi w:val="0"/>
        <w:spacing w:line="360" w:lineRule="auto"/>
        <w:jc w:val="both"/>
        <w:rPr>
          <w:rFonts w:asciiTheme="majorBidi" w:hAnsiTheme="majorBidi" w:cstheme="majorBidi"/>
        </w:rPr>
      </w:pPr>
    </w:p>
    <w:p w:rsidR="00161ABC" w:rsidRPr="00161ABC" w:rsidRDefault="00161ABC" w:rsidP="00161ABC">
      <w:pPr>
        <w:bidi w:val="0"/>
        <w:spacing w:line="360" w:lineRule="auto"/>
        <w:jc w:val="both"/>
        <w:rPr>
          <w:rFonts w:asciiTheme="majorBidi" w:hAnsiTheme="majorBidi" w:cstheme="majorBidi"/>
          <w:sz w:val="28"/>
          <w:szCs w:val="28"/>
        </w:rPr>
      </w:pPr>
      <w:r w:rsidRPr="00161ABC">
        <w:rPr>
          <w:rFonts w:asciiTheme="majorBidi" w:hAnsiTheme="majorBidi" w:cstheme="majorBidi"/>
          <w:sz w:val="28"/>
          <w:szCs w:val="28"/>
        </w:rPr>
        <w:t>Significant negative correlations were observed between variables such as weight, urban residence, medications/drugs, chemical substances, partial pressure of oxygen (PaO2), partial pressure of carbon dioxide (PaCO2), and bicarbonate (HCO3) levels with the duration until discharge. Conversely, rural residence, toxic/poisonous substances, and mean corpuscular volume (MCV) exhibited significant positive correlations with the time elapsed until discharge.</w:t>
      </w:r>
    </w:p>
    <w:p w:rsidR="006D6E28" w:rsidRPr="00161ABC" w:rsidRDefault="00161ABC" w:rsidP="00161ABC">
      <w:pPr>
        <w:bidi w:val="0"/>
        <w:spacing w:line="360" w:lineRule="auto"/>
        <w:jc w:val="both"/>
        <w:rPr>
          <w:rFonts w:asciiTheme="majorBidi" w:hAnsiTheme="majorBidi" w:cstheme="majorBidi"/>
          <w:sz w:val="28"/>
          <w:szCs w:val="28"/>
        </w:rPr>
        <w:sectPr w:rsidR="006D6E28" w:rsidRPr="00161ABC">
          <w:headerReference w:type="default" r:id="rId35"/>
          <w:pgSz w:w="12240" w:h="15840"/>
          <w:pgMar w:top="1440" w:right="1440" w:bottom="1440" w:left="1440" w:header="720" w:footer="720" w:gutter="0"/>
          <w:cols w:space="720"/>
          <w:docGrid w:linePitch="360"/>
        </w:sectPr>
      </w:pPr>
      <w:r w:rsidRPr="00161ABC">
        <w:rPr>
          <w:rFonts w:asciiTheme="majorBidi" w:hAnsiTheme="majorBidi" w:cstheme="majorBidi"/>
          <w:sz w:val="28"/>
          <w:szCs w:val="28"/>
        </w:rPr>
        <w:lastRenderedPageBreak/>
        <w:t>Regarding intensive care unit (ICU) admission, noteworthy negative correlations were identified between medications/drugs, delay between poisoning and hospital entry, hemoglobin levels (</w:t>
      </w:r>
      <w:proofErr w:type="spellStart"/>
      <w:r w:rsidRPr="00161ABC">
        <w:rPr>
          <w:rFonts w:asciiTheme="majorBidi" w:hAnsiTheme="majorBidi" w:cstheme="majorBidi"/>
          <w:sz w:val="28"/>
          <w:szCs w:val="28"/>
        </w:rPr>
        <w:t>Hb</w:t>
      </w:r>
      <w:proofErr w:type="spellEnd"/>
      <w:r w:rsidRPr="00161ABC">
        <w:rPr>
          <w:rFonts w:asciiTheme="majorBidi" w:hAnsiTheme="majorBidi" w:cstheme="majorBidi"/>
          <w:sz w:val="28"/>
          <w:szCs w:val="28"/>
        </w:rPr>
        <w:t>), and red blood cell counts (RBCs). Conversely, toxic/poisonous substances, chemical substances, MCV, pH levels, and potassium (K) levels displayed significant positive correlations with ICU admission</w:t>
      </w:r>
      <w:r w:rsidR="001E4A46" w:rsidRPr="00161ABC">
        <w:rPr>
          <w:rFonts w:asciiTheme="majorBidi" w:hAnsiTheme="majorBidi" w:cstheme="majorBidi"/>
          <w:sz w:val="28"/>
          <w:szCs w:val="28"/>
        </w:rPr>
        <w:t>.</w:t>
      </w:r>
    </w:p>
    <w:p w:rsidR="001E4A46" w:rsidRPr="001E4A46" w:rsidRDefault="001E4A46" w:rsidP="006D6E28">
      <w:pPr>
        <w:bidi w:val="0"/>
        <w:jc w:val="center"/>
        <w:rPr>
          <w:rFonts w:asciiTheme="majorBidi" w:hAnsiTheme="majorBidi" w:cstheme="majorBidi"/>
          <w:sz w:val="28"/>
          <w:szCs w:val="28"/>
        </w:rPr>
      </w:pPr>
      <w:r w:rsidRPr="001E4A46">
        <w:rPr>
          <w:rFonts w:asciiTheme="majorBidi" w:hAnsiTheme="majorBidi" w:cstheme="majorBidi"/>
          <w:b/>
          <w:bCs/>
          <w:sz w:val="44"/>
          <w:szCs w:val="44"/>
        </w:rPr>
        <w:lastRenderedPageBreak/>
        <w:t>Discussion</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The rate of harming among youngsters addresses a convincing and squeezing worry inside the domain of pediatric wellbeing and security. Characterized as the coincidental openness to unsafe substances that incite cell injury or demise, youth harming stays an essential general wellbeing challenge. This peculiarity is filled by the natural interest and exploratory propensities of kids, which frequently prompts the unexpected ingestion, inward breath, assimilation, or infusion of poisonous specialists. Subsequently, the requirement for powerful avoidance, the executives, and comprehension of the results of pediatric harming is vital to shielding the prosperity of our most youthful and most weak populace (Soave et al., 2022).</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The exceptional weaknesses of youngsters to harming episodes highlight the significance of exhaustive administration systems. Quick and fitting mediation is basic in forestalling the movement of side effects and relieving possible long haul results. The administration of pediatric harming involves a multidisciplinary approach including clinical experts, parental figures, instructors, and policymakers. From prompt advances, for example, poison expulsion and steady consideration to the organization of </w:t>
      </w:r>
      <w:proofErr w:type="spellStart"/>
      <w:r w:rsidRPr="00794709">
        <w:rPr>
          <w:rFonts w:asciiTheme="majorBidi" w:hAnsiTheme="majorBidi" w:cstheme="majorBidi"/>
          <w:sz w:val="28"/>
          <w:szCs w:val="28"/>
        </w:rPr>
        <w:t>remedys</w:t>
      </w:r>
      <w:proofErr w:type="spellEnd"/>
      <w:r w:rsidRPr="00794709">
        <w:rPr>
          <w:rFonts w:asciiTheme="majorBidi" w:hAnsiTheme="majorBidi" w:cstheme="majorBidi"/>
          <w:sz w:val="28"/>
          <w:szCs w:val="28"/>
        </w:rPr>
        <w:t xml:space="preserve"> and specific therapy in extreme cases, the administration cycle is diverse and highlights the many-sided exchange between clinical science, brain research, and social help (Lee et al., 2022; Mubarak et al., 2021).</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Past the domain of prompt attention, the assurance of results in pediatric harming cases holds critical ramifications for both momentary recuperation and long haul wellbeing. The direction of results is impacted by a group of stars of variables, including the sort and measure of toxic substance, the youngster's age </w:t>
      </w:r>
      <w:r w:rsidRPr="00794709">
        <w:rPr>
          <w:rFonts w:asciiTheme="majorBidi" w:hAnsiTheme="majorBidi" w:cstheme="majorBidi"/>
          <w:sz w:val="28"/>
          <w:szCs w:val="28"/>
        </w:rPr>
        <w:lastRenderedPageBreak/>
        <w:t>and physiological reaction, the practicality and sufficiency of clinical mediation, and the presence of any hidden ailments. The continuum of results goes from gentle cases with complete recuperation to serious situations described by organ harm or lethal outcomes. Subsequently, a careful comprehension of the elements molding these results is essential for directing clinical navigation, upgrading intercessions, and refining preventive procedures (Salem et al., 2023).</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Considering the worldwide pervasiveness of life as a youngster harming episodes and their likely repercussions, resolving this issue through a complex lens is basic. General wellbeing drives, training efforts, progressions in clinical treatment, and strategy changes join to shape an extensive methodology pointed toward decreasing the occurrence, upgrading the administration, and working on the assurance of results in instances of pediatric harming. By inspecting the mind boggling transaction of variables adding to youth harming occurrences and their repercussions, we can work on the whole to produce a more secure climate for kids and at last ease the weight of this preventable wellbeing challenge (</w:t>
      </w:r>
      <w:proofErr w:type="spellStart"/>
      <w:r w:rsidRPr="00794709">
        <w:rPr>
          <w:rFonts w:asciiTheme="majorBidi" w:hAnsiTheme="majorBidi" w:cstheme="majorBidi"/>
          <w:sz w:val="28"/>
          <w:szCs w:val="28"/>
        </w:rPr>
        <w:t>Azimi</w:t>
      </w:r>
      <w:proofErr w:type="spellEnd"/>
      <w:r w:rsidRPr="00794709">
        <w:rPr>
          <w:rFonts w:asciiTheme="majorBidi" w:hAnsiTheme="majorBidi" w:cstheme="majorBidi"/>
          <w:sz w:val="28"/>
          <w:szCs w:val="28"/>
        </w:rPr>
        <w:t xml:space="preserve"> et al., 2023; </w:t>
      </w:r>
      <w:proofErr w:type="spellStart"/>
      <w:r w:rsidRPr="00794709">
        <w:rPr>
          <w:rFonts w:asciiTheme="majorBidi" w:hAnsiTheme="majorBidi" w:cstheme="majorBidi"/>
          <w:sz w:val="28"/>
          <w:szCs w:val="28"/>
        </w:rPr>
        <w:t>Saikia</w:t>
      </w:r>
      <w:proofErr w:type="spellEnd"/>
      <w:r w:rsidRPr="00794709">
        <w:rPr>
          <w:rFonts w:asciiTheme="majorBidi" w:hAnsiTheme="majorBidi" w:cstheme="majorBidi"/>
          <w:sz w:val="28"/>
          <w:szCs w:val="28"/>
        </w:rPr>
        <w:t xml:space="preserve"> et al., 2020).</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The primary point of the review was to assess the predominance of harming occurrences in youngsters, assess the board, and find out the subsequent results.</w:t>
      </w:r>
    </w:p>
    <w:p w:rsid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This review study was completed at the Pediatric Division and Pediatric Emergency unit </w:t>
      </w:r>
      <w:proofErr w:type="spellStart"/>
      <w:r w:rsidRPr="00794709">
        <w:rPr>
          <w:rFonts w:asciiTheme="majorBidi" w:hAnsiTheme="majorBidi" w:cstheme="majorBidi"/>
          <w:sz w:val="28"/>
          <w:szCs w:val="28"/>
        </w:rPr>
        <w:t>Qena</w:t>
      </w:r>
      <w:proofErr w:type="spellEnd"/>
      <w:r w:rsidRPr="00794709">
        <w:rPr>
          <w:rFonts w:asciiTheme="majorBidi" w:hAnsiTheme="majorBidi" w:cstheme="majorBidi"/>
          <w:sz w:val="28"/>
          <w:szCs w:val="28"/>
        </w:rPr>
        <w:t xml:space="preserve"> College Medical clinic, Egypt, traversing from January 2020 to December 2021. The review selected subjects in light of consideration rules, which enveloped all patients owned up to the pediatric division with side effects reminiscent of, not entirely set in stone by history, actual assessment, and research center appraisals. Altogether, 100 patients meeting these models were remembered for the </w:t>
      </w:r>
      <w:proofErr w:type="spellStart"/>
      <w:r w:rsidRPr="00794709">
        <w:rPr>
          <w:rFonts w:asciiTheme="majorBidi" w:hAnsiTheme="majorBidi" w:cstheme="majorBidi"/>
          <w:sz w:val="28"/>
          <w:szCs w:val="28"/>
        </w:rPr>
        <w:t>investigation.</w:t>
      </w:r>
      <w:proofErr w:type="spellEnd"/>
    </w:p>
    <w:p w:rsidR="005B04A4" w:rsidRPr="005B04A4" w:rsidRDefault="005B04A4" w:rsidP="005B04A4">
      <w:pPr>
        <w:bidi w:val="0"/>
        <w:spacing w:before="240" w:line="360" w:lineRule="auto"/>
        <w:jc w:val="both"/>
        <w:rPr>
          <w:rFonts w:asciiTheme="majorBidi" w:hAnsiTheme="majorBidi" w:cstheme="majorBidi"/>
          <w:b/>
          <w:bCs/>
          <w:sz w:val="28"/>
          <w:szCs w:val="28"/>
        </w:rPr>
      </w:pPr>
      <w:r w:rsidRPr="005B04A4">
        <w:rPr>
          <w:rFonts w:asciiTheme="majorBidi" w:hAnsiTheme="majorBidi" w:cstheme="majorBidi"/>
          <w:b/>
          <w:bCs/>
          <w:sz w:val="28"/>
          <w:szCs w:val="28"/>
        </w:rPr>
        <w:lastRenderedPageBreak/>
        <w:t>The main results were as follows: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As respect segment information, we tracked down a mean period of 3.78 years, with babies involving the biggest age bunch at 39%, trailed by babies (32%), preschoolers (12%), young kids (7%), and teenagers (10%). The orientation circulation demonstrated that 67% of the patients were female, and 33% were male. The mean weight was 15.78 kg, with most of patients dwelling in metropolitan regions (59%).</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Harming among kids frequently shows particular examples in view of formative stages and physiological variables. In this review, the noticed circulation of harming cases across various </w:t>
      </w:r>
      <w:proofErr w:type="gramStart"/>
      <w:r w:rsidRPr="00794709">
        <w:rPr>
          <w:rFonts w:asciiTheme="majorBidi" w:hAnsiTheme="majorBidi" w:cstheme="majorBidi"/>
          <w:sz w:val="28"/>
          <w:szCs w:val="28"/>
        </w:rPr>
        <w:t>age</w:t>
      </w:r>
      <w:proofErr w:type="gramEnd"/>
      <w:r w:rsidRPr="00794709">
        <w:rPr>
          <w:rFonts w:asciiTheme="majorBidi" w:hAnsiTheme="majorBidi" w:cstheme="majorBidi"/>
          <w:sz w:val="28"/>
          <w:szCs w:val="28"/>
        </w:rPr>
        <w:t xml:space="preserve"> bunches gives significant experiences into the weakness of specific portions of the pediatric populace. Newborn children, who comprised the biggest age bunch, are especially defenseless because of their exploratory way of behaving, oral obsession, and restricted capacity to fathom likely risks. Their propensity to place objects in their mouths expands the gamble of unintentional ingestion of poisonous substances. Social propensities could likewise add to the orientation dissemination in harming cases. This rate might be because of females' openness to social pressure and are more at risk to a close to home and situational emergency that might lead them to self-hurt (</w:t>
      </w:r>
      <w:proofErr w:type="spellStart"/>
      <w:r w:rsidRPr="00794709">
        <w:rPr>
          <w:rFonts w:asciiTheme="majorBidi" w:hAnsiTheme="majorBidi" w:cstheme="majorBidi"/>
          <w:sz w:val="28"/>
          <w:szCs w:val="28"/>
        </w:rPr>
        <w:t>Saikia</w:t>
      </w:r>
      <w:proofErr w:type="spellEnd"/>
      <w:r w:rsidRPr="00794709">
        <w:rPr>
          <w:rFonts w:asciiTheme="majorBidi" w:hAnsiTheme="majorBidi" w:cstheme="majorBidi"/>
          <w:sz w:val="28"/>
          <w:szCs w:val="28"/>
        </w:rPr>
        <w:t xml:space="preserve"> et al., 2020).</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Then again, Lin et al. (2011) led a review zeroing in on poison openness and results among 140 kids treated at a pediatric crisis division. These youngsters had a typical time of 8.97 years, and there was a moderately even dispersion between sexes. The most elevated portrayal in their review was among young people (41.4%</w:t>
      </w:r>
      <w:proofErr w:type="gramStart"/>
      <w:r w:rsidRPr="00794709">
        <w:rPr>
          <w:rFonts w:asciiTheme="majorBidi" w:hAnsiTheme="majorBidi" w:cstheme="majorBidi"/>
          <w:sz w:val="28"/>
          <w:szCs w:val="28"/>
        </w:rPr>
        <w:t>),</w:t>
      </w:r>
      <w:proofErr w:type="gramEnd"/>
      <w:r w:rsidRPr="00794709">
        <w:rPr>
          <w:rFonts w:asciiTheme="majorBidi" w:hAnsiTheme="majorBidi" w:cstheme="majorBidi"/>
          <w:sz w:val="28"/>
          <w:szCs w:val="28"/>
        </w:rPr>
        <w:t xml:space="preserve"> trailed by pre-young (35.7%), babies (15.0%), and young kids (7.9%). Lin et </w:t>
      </w:r>
      <w:proofErr w:type="spellStart"/>
      <w:r w:rsidRPr="00794709">
        <w:rPr>
          <w:rFonts w:asciiTheme="majorBidi" w:hAnsiTheme="majorBidi" w:cstheme="majorBidi"/>
          <w:sz w:val="28"/>
          <w:szCs w:val="28"/>
        </w:rPr>
        <w:t>al's</w:t>
      </w:r>
      <w:proofErr w:type="spellEnd"/>
      <w:r w:rsidRPr="00794709">
        <w:rPr>
          <w:rFonts w:asciiTheme="majorBidi" w:hAnsiTheme="majorBidi" w:cstheme="majorBidi"/>
          <w:sz w:val="28"/>
          <w:szCs w:val="28"/>
        </w:rPr>
        <w:t xml:space="preserve">. </w:t>
      </w:r>
      <w:proofErr w:type="gramStart"/>
      <w:r w:rsidRPr="00794709">
        <w:rPr>
          <w:rFonts w:asciiTheme="majorBidi" w:hAnsiTheme="majorBidi" w:cstheme="majorBidi"/>
          <w:sz w:val="28"/>
          <w:szCs w:val="28"/>
        </w:rPr>
        <w:t>concentrate</w:t>
      </w:r>
      <w:proofErr w:type="gramEnd"/>
      <w:r w:rsidRPr="00794709">
        <w:rPr>
          <w:rFonts w:asciiTheme="majorBidi" w:hAnsiTheme="majorBidi" w:cstheme="majorBidi"/>
          <w:sz w:val="28"/>
          <w:szCs w:val="28"/>
        </w:rPr>
        <w:t xml:space="preserve"> on included a more extensive age range, essentially zeroing </w:t>
      </w:r>
      <w:r w:rsidRPr="00794709">
        <w:rPr>
          <w:rFonts w:asciiTheme="majorBidi" w:hAnsiTheme="majorBidi" w:cstheme="majorBidi"/>
          <w:sz w:val="28"/>
          <w:szCs w:val="28"/>
        </w:rPr>
        <w:lastRenderedPageBreak/>
        <w:t xml:space="preserve">in on teenagers and pre-young kids. The variety in age circulation and the accentuation on various </w:t>
      </w:r>
      <w:proofErr w:type="gramStart"/>
      <w:r w:rsidRPr="00794709">
        <w:rPr>
          <w:rFonts w:asciiTheme="majorBidi" w:hAnsiTheme="majorBidi" w:cstheme="majorBidi"/>
          <w:sz w:val="28"/>
          <w:szCs w:val="28"/>
        </w:rPr>
        <w:t>age</w:t>
      </w:r>
      <w:proofErr w:type="gramEnd"/>
      <w:r w:rsidRPr="00794709">
        <w:rPr>
          <w:rFonts w:asciiTheme="majorBidi" w:hAnsiTheme="majorBidi" w:cstheme="majorBidi"/>
          <w:sz w:val="28"/>
          <w:szCs w:val="28"/>
        </w:rPr>
        <w:t xml:space="preserve"> bunches between the two examinations highlight likely contrasts in poison openness examples and results among pediatric populaces.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Conversely, </w:t>
      </w:r>
      <w:proofErr w:type="spellStart"/>
      <w:r w:rsidRPr="00794709">
        <w:rPr>
          <w:rFonts w:asciiTheme="majorBidi" w:hAnsiTheme="majorBidi" w:cstheme="majorBidi"/>
          <w:sz w:val="28"/>
          <w:szCs w:val="28"/>
        </w:rPr>
        <w:t>Azab</w:t>
      </w:r>
      <w:proofErr w:type="spellEnd"/>
      <w:r w:rsidRPr="00794709">
        <w:rPr>
          <w:rFonts w:asciiTheme="majorBidi" w:hAnsiTheme="majorBidi" w:cstheme="majorBidi"/>
          <w:sz w:val="28"/>
          <w:szCs w:val="28"/>
        </w:rPr>
        <w:t xml:space="preserve"> et al. (2013) led an epidemiological review surveying intense harming in youngsters at </w:t>
      </w:r>
      <w:proofErr w:type="spellStart"/>
      <w:r w:rsidRPr="00794709">
        <w:rPr>
          <w:rFonts w:asciiTheme="majorBidi" w:hAnsiTheme="majorBidi" w:cstheme="majorBidi"/>
          <w:sz w:val="28"/>
          <w:szCs w:val="28"/>
        </w:rPr>
        <w:t>Ain</w:t>
      </w:r>
      <w:proofErr w:type="spellEnd"/>
      <w:r w:rsidRPr="00794709">
        <w:rPr>
          <w:rFonts w:asciiTheme="majorBidi" w:hAnsiTheme="majorBidi" w:cstheme="majorBidi"/>
          <w:sz w:val="28"/>
          <w:szCs w:val="28"/>
        </w:rPr>
        <w:t xml:space="preserve"> Hoaxes College's therapy place in Cairo. Their discoveries uncovered unmistakable orientation circulations, leaning toward young men in preschool and young classes, while young ladies dwarfed young men quite in the juvenile gathering. The concentrate likewise featured age circulation, overwhelmingly including 2-and 3-year-olds in harming cases, alongside noticed occasional changes. Nearly, our review zeroed in on a more youthful partner, fundamentally newborn children and babies, displaying a somewhat impartial orientation circulation. Conversely, </w:t>
      </w:r>
      <w:proofErr w:type="spellStart"/>
      <w:r w:rsidRPr="00794709">
        <w:rPr>
          <w:rFonts w:asciiTheme="majorBidi" w:hAnsiTheme="majorBidi" w:cstheme="majorBidi"/>
          <w:sz w:val="28"/>
          <w:szCs w:val="28"/>
        </w:rPr>
        <w:t>Azab</w:t>
      </w:r>
      <w:proofErr w:type="spellEnd"/>
      <w:r w:rsidRPr="00794709">
        <w:rPr>
          <w:rFonts w:asciiTheme="majorBidi" w:hAnsiTheme="majorBidi" w:cstheme="majorBidi"/>
          <w:sz w:val="28"/>
          <w:szCs w:val="28"/>
        </w:rPr>
        <w:t xml:space="preserve"> et al. inspected a more extensive age range, complementing orientation disparities across age gatherings and underscoring higher harming pervasiveness among 2-and 3-year-olds. These distinctions affirm the previously mentioned possible epidemiological varieties in pediatric harming across different settings.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In this review, we sorted the kinds of toxins into prescriptions/drugs (33%), harmful/noxious substances (14%), and compound substances (53%). Further examination of explicit toxic substance types uncovered eminent occasions of antipsychotic harming, for example, </w:t>
      </w:r>
      <w:proofErr w:type="spellStart"/>
      <w:r w:rsidRPr="00794709">
        <w:rPr>
          <w:rFonts w:asciiTheme="majorBidi" w:hAnsiTheme="majorBidi" w:cstheme="majorBidi"/>
          <w:sz w:val="28"/>
          <w:szCs w:val="28"/>
        </w:rPr>
        <w:t>Clozapex</w:t>
      </w:r>
      <w:proofErr w:type="spellEnd"/>
      <w:r w:rsidRPr="00794709">
        <w:rPr>
          <w:rFonts w:asciiTheme="majorBidi" w:hAnsiTheme="majorBidi" w:cstheme="majorBidi"/>
          <w:sz w:val="28"/>
          <w:szCs w:val="28"/>
        </w:rPr>
        <w:t xml:space="preserve"> and </w:t>
      </w:r>
      <w:proofErr w:type="spellStart"/>
      <w:r w:rsidRPr="00794709">
        <w:rPr>
          <w:rFonts w:asciiTheme="majorBidi" w:hAnsiTheme="majorBidi" w:cstheme="majorBidi"/>
          <w:sz w:val="28"/>
          <w:szCs w:val="28"/>
        </w:rPr>
        <w:t>Depakine</w:t>
      </w:r>
      <w:proofErr w:type="spellEnd"/>
      <w:r w:rsidRPr="00794709">
        <w:rPr>
          <w:rFonts w:asciiTheme="majorBidi" w:hAnsiTheme="majorBidi" w:cstheme="majorBidi"/>
          <w:sz w:val="28"/>
          <w:szCs w:val="28"/>
        </w:rPr>
        <w:t>, representing 7% each. Destructive and burning substances, including cleansers and acidic pop, impacted 7% of cases. Weed harming addressed 8% of the cases, and openness to rodenticides and insect sprays was seen in 7% and 6% of people, separately. These discoveries shed light on the variety of toxic substance types and their separate frequencies inside the concentrated on populace.</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lastRenderedPageBreak/>
        <w:t xml:space="preserve">Many examinations from created countries, similar to the review led by </w:t>
      </w:r>
      <w:proofErr w:type="spellStart"/>
      <w:r w:rsidRPr="00794709">
        <w:rPr>
          <w:rFonts w:asciiTheme="majorBidi" w:hAnsiTheme="majorBidi" w:cstheme="majorBidi"/>
          <w:sz w:val="28"/>
          <w:szCs w:val="28"/>
        </w:rPr>
        <w:t>Rajka</w:t>
      </w:r>
      <w:proofErr w:type="spellEnd"/>
      <w:r w:rsidRPr="00794709">
        <w:rPr>
          <w:rFonts w:asciiTheme="majorBidi" w:hAnsiTheme="majorBidi" w:cstheme="majorBidi"/>
          <w:sz w:val="28"/>
          <w:szCs w:val="28"/>
        </w:rPr>
        <w:t xml:space="preserve"> et al. (2007) have revealed medications and medications to be the most widely recognized specialists.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Cripps et al. (2006) </w:t>
      </w:r>
      <w:proofErr w:type="gramStart"/>
      <w:r w:rsidRPr="00794709">
        <w:rPr>
          <w:rFonts w:asciiTheme="majorBidi" w:hAnsiTheme="majorBidi" w:cstheme="majorBidi"/>
          <w:sz w:val="28"/>
          <w:szCs w:val="28"/>
        </w:rPr>
        <w:t>Comparatively</w:t>
      </w:r>
      <w:proofErr w:type="gramEnd"/>
      <w:r w:rsidRPr="00794709">
        <w:rPr>
          <w:rFonts w:asciiTheme="majorBidi" w:hAnsiTheme="majorBidi" w:cstheme="majorBidi"/>
          <w:sz w:val="28"/>
          <w:szCs w:val="28"/>
        </w:rPr>
        <w:t xml:space="preserve"> analyzed drug poisonings among Australian kids. Their discoveries underlined the meaning of </w:t>
      </w:r>
      <w:proofErr w:type="spellStart"/>
      <w:r w:rsidRPr="00794709">
        <w:rPr>
          <w:rFonts w:asciiTheme="majorBidi" w:hAnsiTheme="majorBidi" w:cstheme="majorBidi"/>
          <w:sz w:val="28"/>
          <w:szCs w:val="28"/>
        </w:rPr>
        <w:t>paracetamol</w:t>
      </w:r>
      <w:proofErr w:type="spellEnd"/>
      <w:r w:rsidRPr="00794709">
        <w:rPr>
          <w:rFonts w:asciiTheme="majorBidi" w:hAnsiTheme="majorBidi" w:cstheme="majorBidi"/>
          <w:sz w:val="28"/>
          <w:szCs w:val="28"/>
        </w:rPr>
        <w:t>-related cases, lining up with our investigation of prescription/drug variety.</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Reith et al. (2001) detailed a comparative pattern of </w:t>
      </w:r>
      <w:proofErr w:type="spellStart"/>
      <w:r w:rsidRPr="00794709">
        <w:rPr>
          <w:rFonts w:asciiTheme="majorBidi" w:hAnsiTheme="majorBidi" w:cstheme="majorBidi"/>
          <w:sz w:val="28"/>
          <w:szCs w:val="28"/>
        </w:rPr>
        <w:t>paracetamol</w:t>
      </w:r>
      <w:proofErr w:type="spellEnd"/>
      <w:r w:rsidRPr="00794709">
        <w:rPr>
          <w:rFonts w:asciiTheme="majorBidi" w:hAnsiTheme="majorBidi" w:cstheme="majorBidi"/>
          <w:sz w:val="28"/>
          <w:szCs w:val="28"/>
        </w:rPr>
        <w:t>-related poisonings, especially among one and two-year-old Australian kids.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Likewise, Bond et al. (2012) discoveries featured the effect of kids' self-openness to remedy items, including narcotics and narcotic hypnotics. Their perceptions reflect our investigation of medicine/drug variety and its suggestions.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In an alternate locale, </w:t>
      </w:r>
      <w:proofErr w:type="spellStart"/>
      <w:r w:rsidRPr="00794709">
        <w:rPr>
          <w:rFonts w:asciiTheme="majorBidi" w:hAnsiTheme="majorBidi" w:cstheme="majorBidi"/>
          <w:sz w:val="28"/>
          <w:szCs w:val="28"/>
        </w:rPr>
        <w:t>Dayasiri</w:t>
      </w:r>
      <w:proofErr w:type="spellEnd"/>
      <w:r w:rsidRPr="00794709">
        <w:rPr>
          <w:rFonts w:asciiTheme="majorBidi" w:hAnsiTheme="majorBidi" w:cstheme="majorBidi"/>
          <w:sz w:val="28"/>
          <w:szCs w:val="28"/>
        </w:rPr>
        <w:t xml:space="preserve"> et al. (2018) examination in country Sri Lanka revealed family synthetic substances as a conspicuous figure poisonings. Remarkably, lamp fuel oil arose as an intermittent supporter, lining up with our discoveries in regards to compound substances. Furthermore, their perceptions of restorative specialists and establish poisonings relate with our discoveries of harmful/noxious substances.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In our review, Hypotension arose as a pervasive cardiovascular show (25%), while respiratory misery overwhelmed the respiratory framework (49%). Oral signs included slobbering of spit (12%), the smell of phenol (5%), and oral white patches (7%). Retching was the dominating gastrointestinal show (38%), and the sensory system introduced side effects like tiredness (23%), obviousness (18%), and shortcoming (6%). These discoveries give an exhaustive comprehension of the clinical introductions related with pediatric harming cases.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lastRenderedPageBreak/>
        <w:t>Differentiating our review, Lin et al. (2011) zeroed in on broad clinical introductions among kids with poison openness, introducing a more extensive outline. Their discoveries distinguished changing levels of symptomatology, with 18.6% of cases being asymptomatic, and striking extents encountering gastrointestinal (25%), neurological (34.3%), and cardiovascular (5.7%) side effects, among others. Our review gives a more definite side effect breakdown, contributing nuanced experiences into explicit indications.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Besides, </w:t>
      </w:r>
      <w:proofErr w:type="spellStart"/>
      <w:r w:rsidRPr="00794709">
        <w:rPr>
          <w:rFonts w:asciiTheme="majorBidi" w:hAnsiTheme="majorBidi" w:cstheme="majorBidi"/>
          <w:sz w:val="28"/>
          <w:szCs w:val="28"/>
        </w:rPr>
        <w:t>Woyessa</w:t>
      </w:r>
      <w:proofErr w:type="spellEnd"/>
      <w:r w:rsidRPr="00794709">
        <w:rPr>
          <w:rFonts w:asciiTheme="majorBidi" w:hAnsiTheme="majorBidi" w:cstheme="majorBidi"/>
          <w:sz w:val="28"/>
          <w:szCs w:val="28"/>
        </w:rPr>
        <w:t xml:space="preserve"> et al. (2020) concentrate on in Western Ethiopia dug into clinical results of harming cases, uncovering unmistakable side effect profiles. Cerebral pain was accounted for in 4.27% of cases, while skin variety change (16.59%) and bewilderment or obviousness (19.43%) featured possible foundational impacts. Gastrointestinal side effects of retching or the runs (19.43%) and </w:t>
      </w:r>
      <w:proofErr w:type="spellStart"/>
      <w:r w:rsidRPr="00794709">
        <w:rPr>
          <w:rFonts w:asciiTheme="majorBidi" w:hAnsiTheme="majorBidi" w:cstheme="majorBidi"/>
          <w:sz w:val="28"/>
          <w:szCs w:val="28"/>
        </w:rPr>
        <w:t>epigastric</w:t>
      </w:r>
      <w:proofErr w:type="spellEnd"/>
      <w:r w:rsidRPr="00794709">
        <w:rPr>
          <w:rFonts w:asciiTheme="majorBidi" w:hAnsiTheme="majorBidi" w:cstheme="majorBidi"/>
          <w:sz w:val="28"/>
          <w:szCs w:val="28"/>
        </w:rPr>
        <w:t xml:space="preserve"> or stomach torment (28.91%) exhibited the effect on the stomach related framework.</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Conversely, </w:t>
      </w:r>
      <w:proofErr w:type="spellStart"/>
      <w:r w:rsidRPr="00794709">
        <w:rPr>
          <w:rFonts w:asciiTheme="majorBidi" w:hAnsiTheme="majorBidi" w:cstheme="majorBidi"/>
          <w:sz w:val="28"/>
          <w:szCs w:val="28"/>
        </w:rPr>
        <w:t>Kohli</w:t>
      </w:r>
      <w:proofErr w:type="spellEnd"/>
      <w:r w:rsidRPr="00794709">
        <w:rPr>
          <w:rFonts w:asciiTheme="majorBidi" w:hAnsiTheme="majorBidi" w:cstheme="majorBidi"/>
          <w:sz w:val="28"/>
          <w:szCs w:val="28"/>
        </w:rPr>
        <w:t xml:space="preserve"> et al. (2008) detailed adjusted sensorium, respiratory pain, seizures and so on, to be most normal introductions.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In our review, the administration of harming cases envelops a different scope of medicines, as featured in our review. ABC (aviation route, breathing, dissemination) treatment was generally regulated to all patients (100 percent), filling in as a basic move toward patient adjustment. Purification techniques were custom-made with a gastric wash utilized in 77% of cases and weakening treatment in 22%, mirroring the significance of setting explicit methodologies. Cures assumed a part in tending to explicit cases, including enacted charcoal (5%), </w:t>
      </w:r>
      <w:proofErr w:type="spellStart"/>
      <w:r w:rsidRPr="00794709">
        <w:rPr>
          <w:rFonts w:asciiTheme="majorBidi" w:hAnsiTheme="majorBidi" w:cstheme="majorBidi"/>
          <w:sz w:val="28"/>
          <w:szCs w:val="28"/>
        </w:rPr>
        <w:t>botulium</w:t>
      </w:r>
      <w:proofErr w:type="spellEnd"/>
      <w:r w:rsidRPr="00794709">
        <w:rPr>
          <w:rFonts w:asciiTheme="majorBidi" w:hAnsiTheme="majorBidi" w:cstheme="majorBidi"/>
          <w:sz w:val="28"/>
          <w:szCs w:val="28"/>
        </w:rPr>
        <w:t xml:space="preserve"> counteragent (6%), and atropine (17%), showing the nuanced idea of treatment choice. Suggestive medicines, anti-</w:t>
      </w:r>
      <w:proofErr w:type="spellStart"/>
      <w:r w:rsidRPr="00794709">
        <w:rPr>
          <w:rFonts w:asciiTheme="majorBidi" w:hAnsiTheme="majorBidi" w:cstheme="majorBidi"/>
          <w:sz w:val="28"/>
          <w:szCs w:val="28"/>
        </w:rPr>
        <w:t>microbials</w:t>
      </w:r>
      <w:proofErr w:type="spellEnd"/>
      <w:r w:rsidRPr="00794709">
        <w:rPr>
          <w:rFonts w:asciiTheme="majorBidi" w:hAnsiTheme="majorBidi" w:cstheme="majorBidi"/>
          <w:sz w:val="28"/>
          <w:szCs w:val="28"/>
        </w:rPr>
        <w:t xml:space="preserve">, and different mediations </w:t>
      </w:r>
      <w:r w:rsidRPr="00794709">
        <w:rPr>
          <w:rFonts w:asciiTheme="majorBidi" w:hAnsiTheme="majorBidi" w:cstheme="majorBidi"/>
          <w:sz w:val="28"/>
          <w:szCs w:val="28"/>
        </w:rPr>
        <w:lastRenderedPageBreak/>
        <w:t>were painstakingly customized to individual cases, highlighting the customized approach in overseeing pediatric harming cases inside an emergency clinic setting.</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In the review directed by </w:t>
      </w:r>
      <w:proofErr w:type="spellStart"/>
      <w:r w:rsidRPr="00794709">
        <w:rPr>
          <w:rFonts w:asciiTheme="majorBidi" w:hAnsiTheme="majorBidi" w:cstheme="majorBidi"/>
          <w:sz w:val="28"/>
          <w:szCs w:val="28"/>
        </w:rPr>
        <w:t>Woyessa</w:t>
      </w:r>
      <w:proofErr w:type="spellEnd"/>
      <w:r w:rsidRPr="00794709">
        <w:rPr>
          <w:rFonts w:asciiTheme="majorBidi" w:hAnsiTheme="majorBidi" w:cstheme="majorBidi"/>
          <w:sz w:val="28"/>
          <w:szCs w:val="28"/>
        </w:rPr>
        <w:t xml:space="preserve"> et al. (2020) their examination of clinical side effects in 211 instances of harming the board gave important experiences into various classes of measures taken. </w:t>
      </w:r>
      <w:proofErr w:type="spellStart"/>
      <w:r w:rsidRPr="00794709">
        <w:rPr>
          <w:rFonts w:asciiTheme="majorBidi" w:hAnsiTheme="majorBidi" w:cstheme="majorBidi"/>
          <w:sz w:val="28"/>
          <w:szCs w:val="28"/>
        </w:rPr>
        <w:t>Prehospital</w:t>
      </w:r>
      <w:proofErr w:type="spellEnd"/>
      <w:r w:rsidRPr="00794709">
        <w:rPr>
          <w:rFonts w:asciiTheme="majorBidi" w:hAnsiTheme="majorBidi" w:cstheme="majorBidi"/>
          <w:sz w:val="28"/>
          <w:szCs w:val="28"/>
        </w:rPr>
        <w:t xml:space="preserve"> care was seen in 20.40% of cases, underlining the meaning of early clinical reaction. General revival measures were noticeably controlled in 68.72% of cases, delineating their basic job in balancing out patients. Explicit </w:t>
      </w:r>
      <w:proofErr w:type="spellStart"/>
      <w:r w:rsidRPr="00794709">
        <w:rPr>
          <w:rFonts w:asciiTheme="majorBidi" w:hAnsiTheme="majorBidi" w:cstheme="majorBidi"/>
          <w:sz w:val="28"/>
          <w:szCs w:val="28"/>
        </w:rPr>
        <w:t>counteractant</w:t>
      </w:r>
      <w:proofErr w:type="spellEnd"/>
      <w:r w:rsidRPr="00794709">
        <w:rPr>
          <w:rFonts w:asciiTheme="majorBidi" w:hAnsiTheme="majorBidi" w:cstheme="majorBidi"/>
          <w:sz w:val="28"/>
          <w:szCs w:val="28"/>
        </w:rPr>
        <w:t xml:space="preserve"> organization was kept in 24.17% of cases, exhibiting the significance of designated and concentrated medicines. An extra 7.11% of cases included the use of </w:t>
      </w:r>
      <w:proofErr w:type="spellStart"/>
      <w:r w:rsidRPr="00794709">
        <w:rPr>
          <w:rFonts w:asciiTheme="majorBidi" w:hAnsiTheme="majorBidi" w:cstheme="majorBidi"/>
          <w:sz w:val="28"/>
          <w:szCs w:val="28"/>
        </w:rPr>
        <w:t>all encompassing</w:t>
      </w:r>
      <w:proofErr w:type="spellEnd"/>
      <w:r w:rsidRPr="00794709">
        <w:rPr>
          <w:rFonts w:asciiTheme="majorBidi" w:hAnsiTheme="majorBidi" w:cstheme="majorBidi"/>
          <w:sz w:val="28"/>
          <w:szCs w:val="28"/>
        </w:rPr>
        <w:t xml:space="preserve"> means, further outlining an extensive way to deal with harming the </w:t>
      </w:r>
      <w:proofErr w:type="gramStart"/>
      <w:r w:rsidRPr="00794709">
        <w:rPr>
          <w:rFonts w:asciiTheme="majorBidi" w:hAnsiTheme="majorBidi" w:cstheme="majorBidi"/>
          <w:sz w:val="28"/>
          <w:szCs w:val="28"/>
        </w:rPr>
        <w:t>executives</w:t>
      </w:r>
      <w:proofErr w:type="gramEnd"/>
      <w:r w:rsidRPr="00794709">
        <w:rPr>
          <w:rFonts w:asciiTheme="majorBidi" w:hAnsiTheme="majorBidi" w:cstheme="majorBidi"/>
          <w:sz w:val="28"/>
          <w:szCs w:val="28"/>
        </w:rPr>
        <w:t xml:space="preserve"> procedures.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Interestingly, the review directed by Khan et al. (2016) planned to distinguish patterns in intense harming cases, zeroing in on recurrence, nature of harming specialists, clinical introductions, and results. Their discoveries uncovered that 16.2% of patients got cures, while enacted charcoal was regulated to 52.8% and gastric lavage to 53.3%. This correlation highlights the varieties in administration approaches across various examinations, stressing the significance of a diverse and individualized system in tending to pediatric harming cases successfully.</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Likewise, </w:t>
      </w:r>
      <w:proofErr w:type="spellStart"/>
      <w:r w:rsidRPr="00794709">
        <w:rPr>
          <w:rFonts w:asciiTheme="majorBidi" w:hAnsiTheme="majorBidi" w:cstheme="majorBidi"/>
          <w:sz w:val="28"/>
          <w:szCs w:val="28"/>
        </w:rPr>
        <w:t>Dhanya</w:t>
      </w:r>
      <w:proofErr w:type="spellEnd"/>
      <w:r w:rsidRPr="00794709">
        <w:rPr>
          <w:rFonts w:asciiTheme="majorBidi" w:hAnsiTheme="majorBidi" w:cstheme="majorBidi"/>
          <w:sz w:val="28"/>
          <w:szCs w:val="28"/>
        </w:rPr>
        <w:t xml:space="preserve"> et al. (2009) referenced that general estimates like Gastric lavage (83%) and </w:t>
      </w:r>
      <w:proofErr w:type="spellStart"/>
      <w:r w:rsidRPr="00794709">
        <w:rPr>
          <w:rFonts w:asciiTheme="majorBidi" w:hAnsiTheme="majorBidi" w:cstheme="majorBidi"/>
          <w:sz w:val="28"/>
          <w:szCs w:val="28"/>
        </w:rPr>
        <w:t>Ryles</w:t>
      </w:r>
      <w:proofErr w:type="spellEnd"/>
      <w:r w:rsidRPr="00794709">
        <w:rPr>
          <w:rFonts w:asciiTheme="majorBidi" w:hAnsiTheme="majorBidi" w:cstheme="majorBidi"/>
          <w:sz w:val="28"/>
          <w:szCs w:val="28"/>
        </w:rPr>
        <w:t xml:space="preserve"> Cylinder Desire (80%) were essentially utilized for the executives of harming cases.</w:t>
      </w:r>
    </w:p>
    <w:p w:rsidR="00794709" w:rsidRPr="00794709" w:rsidRDefault="00794709" w:rsidP="00794709">
      <w:pPr>
        <w:bidi w:val="0"/>
        <w:spacing w:line="360" w:lineRule="auto"/>
        <w:ind w:firstLine="720"/>
        <w:jc w:val="both"/>
        <w:rPr>
          <w:rFonts w:asciiTheme="majorBidi" w:hAnsiTheme="majorBidi" w:cstheme="majorBidi"/>
          <w:sz w:val="28"/>
          <w:szCs w:val="28"/>
        </w:rPr>
      </w:pPr>
      <w:r w:rsidRPr="00794709">
        <w:rPr>
          <w:rFonts w:asciiTheme="majorBidi" w:hAnsiTheme="majorBidi" w:cstheme="majorBidi"/>
          <w:sz w:val="28"/>
          <w:szCs w:val="28"/>
        </w:rPr>
        <w:t xml:space="preserve">Nearly, the concentrate by </w:t>
      </w:r>
      <w:proofErr w:type="spellStart"/>
      <w:r w:rsidRPr="00794709">
        <w:rPr>
          <w:rFonts w:asciiTheme="majorBidi" w:hAnsiTheme="majorBidi" w:cstheme="majorBidi"/>
          <w:sz w:val="28"/>
          <w:szCs w:val="28"/>
        </w:rPr>
        <w:t>Tobaiqy</w:t>
      </w:r>
      <w:proofErr w:type="spellEnd"/>
      <w:r w:rsidRPr="00794709">
        <w:rPr>
          <w:rFonts w:asciiTheme="majorBidi" w:hAnsiTheme="majorBidi" w:cstheme="majorBidi"/>
          <w:sz w:val="28"/>
          <w:szCs w:val="28"/>
        </w:rPr>
        <w:t xml:space="preserve"> et al. (2010) planned to assess intense harming the board among kids in a Saudi Bedouin trauma center. Their ordered mediations uncovered that 44.9% got </w:t>
      </w:r>
      <w:proofErr w:type="spellStart"/>
      <w:r w:rsidRPr="00794709">
        <w:rPr>
          <w:rFonts w:asciiTheme="majorBidi" w:hAnsiTheme="majorBidi" w:cstheme="majorBidi"/>
          <w:sz w:val="28"/>
          <w:szCs w:val="28"/>
        </w:rPr>
        <w:t>counteractants</w:t>
      </w:r>
      <w:proofErr w:type="spellEnd"/>
      <w:r w:rsidRPr="00794709">
        <w:rPr>
          <w:rFonts w:asciiTheme="majorBidi" w:hAnsiTheme="majorBidi" w:cstheme="majorBidi"/>
          <w:sz w:val="28"/>
          <w:szCs w:val="28"/>
        </w:rPr>
        <w:t xml:space="preserve">, 21.7% went through strong </w:t>
      </w:r>
      <w:r w:rsidRPr="00794709">
        <w:rPr>
          <w:rFonts w:asciiTheme="majorBidi" w:hAnsiTheme="majorBidi" w:cstheme="majorBidi"/>
          <w:sz w:val="28"/>
          <w:szCs w:val="28"/>
        </w:rPr>
        <w:lastRenderedPageBreak/>
        <w:t xml:space="preserve">treatment, and 33.3% didn't need intercession. Significant </w:t>
      </w:r>
      <w:proofErr w:type="spellStart"/>
      <w:r w:rsidRPr="00794709">
        <w:rPr>
          <w:rFonts w:asciiTheme="majorBidi" w:hAnsiTheme="majorBidi" w:cstheme="majorBidi"/>
          <w:sz w:val="28"/>
          <w:szCs w:val="28"/>
        </w:rPr>
        <w:t>counteractant</w:t>
      </w:r>
      <w:proofErr w:type="spellEnd"/>
      <w:r w:rsidRPr="00794709">
        <w:rPr>
          <w:rFonts w:asciiTheme="majorBidi" w:hAnsiTheme="majorBidi" w:cstheme="majorBidi"/>
          <w:sz w:val="28"/>
          <w:szCs w:val="28"/>
        </w:rPr>
        <w:t xml:space="preserve"> measures included initiated charcoal (51.6%), N-</w:t>
      </w:r>
      <w:proofErr w:type="spellStart"/>
      <w:r w:rsidRPr="00794709">
        <w:rPr>
          <w:rFonts w:asciiTheme="majorBidi" w:hAnsiTheme="majorBidi" w:cstheme="majorBidi"/>
          <w:sz w:val="28"/>
          <w:szCs w:val="28"/>
        </w:rPr>
        <w:t>acetylcysteine</w:t>
      </w:r>
      <w:proofErr w:type="spellEnd"/>
      <w:r w:rsidRPr="00794709">
        <w:rPr>
          <w:rFonts w:asciiTheme="majorBidi" w:hAnsiTheme="majorBidi" w:cstheme="majorBidi"/>
          <w:sz w:val="28"/>
          <w:szCs w:val="28"/>
        </w:rPr>
        <w:t xml:space="preserve"> (29.0%), allergy medicines (9.7%), naloxone (3.2%), atropine (3.2%), and </w:t>
      </w:r>
      <w:proofErr w:type="spellStart"/>
      <w:r w:rsidRPr="00794709">
        <w:rPr>
          <w:rFonts w:asciiTheme="majorBidi" w:hAnsiTheme="majorBidi" w:cstheme="majorBidi"/>
          <w:sz w:val="28"/>
          <w:szCs w:val="28"/>
        </w:rPr>
        <w:t>fomepizole</w:t>
      </w:r>
      <w:proofErr w:type="spellEnd"/>
      <w:r w:rsidRPr="00794709">
        <w:rPr>
          <w:rFonts w:asciiTheme="majorBidi" w:hAnsiTheme="majorBidi" w:cstheme="majorBidi"/>
          <w:sz w:val="28"/>
          <w:szCs w:val="28"/>
        </w:rPr>
        <w:t xml:space="preserve"> (3.2%). By and large, these investigations highlight the complicated and custom-made nature of overseeing pediatric harming cases, incorporating different mediations to guarantee ideal patient consideration.</w:t>
      </w:r>
    </w:p>
    <w:p w:rsidR="00794709" w:rsidRDefault="00794709" w:rsidP="00794709">
      <w:pPr>
        <w:bidi w:val="0"/>
        <w:spacing w:line="360" w:lineRule="auto"/>
        <w:ind w:firstLine="720"/>
        <w:jc w:val="both"/>
        <w:rPr>
          <w:rFonts w:asciiTheme="majorBidi" w:hAnsiTheme="majorBidi" w:cstheme="majorBidi"/>
          <w:sz w:val="28"/>
          <w:szCs w:val="28"/>
        </w:rPr>
      </w:pPr>
    </w:p>
    <w:p w:rsidR="00794709" w:rsidRDefault="00794709" w:rsidP="00794709">
      <w:pPr>
        <w:bidi w:val="0"/>
        <w:spacing w:line="360" w:lineRule="auto"/>
        <w:ind w:firstLine="720"/>
        <w:jc w:val="both"/>
        <w:rPr>
          <w:rFonts w:asciiTheme="majorBidi" w:hAnsiTheme="majorBidi" w:cstheme="majorBidi"/>
          <w:sz w:val="28"/>
          <w:szCs w:val="28"/>
        </w:rPr>
      </w:pP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In this review, Lab discoveries demonstrated that the patients for the most part had typical qualities for fundamental signs, blood boundaries, blood vessel blood gas (ABG) estimations, kidney and liver capability, and serum electrolyte levels. This recommends that the harming cases were not related with broad physiological unsettling influences in these boundaries, adding to a superior comprehension of the general wellbeing status of the patients. Nonetheless, around 44% of the patients required ICU affirmation, with a typical ICU stay of 2.14 days. The typical time till release was 2.63 days, with striking varieties saw among individual cases. These discoveries stress the seriousness of the harming cases and the requirement for concentrated care for a huge extent of patients.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Amazingly, our discoveries line up with those of Khan et al. (2016) where their examination showed a middle hospitalization time of 2 days (with an interquartile scope of 1-4 days).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 xml:space="preserve">Our review dug into a far reaching investigation of relationships </w:t>
      </w:r>
      <w:proofErr w:type="spellStart"/>
      <w:r w:rsidRPr="007B3716">
        <w:rPr>
          <w:rFonts w:asciiTheme="majorBidi" w:hAnsiTheme="majorBidi" w:cstheme="majorBidi"/>
          <w:sz w:val="28"/>
          <w:szCs w:val="28"/>
        </w:rPr>
        <w:t>between's</w:t>
      </w:r>
      <w:proofErr w:type="spellEnd"/>
      <w:r w:rsidRPr="007B3716">
        <w:rPr>
          <w:rFonts w:asciiTheme="majorBidi" w:hAnsiTheme="majorBidi" w:cstheme="majorBidi"/>
          <w:sz w:val="28"/>
          <w:szCs w:val="28"/>
        </w:rPr>
        <w:t xml:space="preserve"> different factors and various parts of harming cases, including poison types, ICU confirmation, and time till release. Through thorough measurable examination, we uncovered critical affiliations that shed light on likely connections and prognostic </w:t>
      </w:r>
      <w:r w:rsidRPr="007B3716">
        <w:rPr>
          <w:rFonts w:asciiTheme="majorBidi" w:hAnsiTheme="majorBidi" w:cstheme="majorBidi"/>
          <w:sz w:val="28"/>
          <w:szCs w:val="28"/>
        </w:rPr>
        <w:lastRenderedPageBreak/>
        <w:t>markers. Among the remarkable connections, endlessly age classifications arose as huge elements. In particular, newborn children, the most youthful age bunch, showed areas of strength for a connection with prescriptions/drugs harming, demonstrating that this gathering was especially defenseless against such toxic substance types. This perception could be ascribed to newborn children's expanded weakness to inadvertent ingestions because of their exploratory way of behaving and restricted capacity to perceive hurtful substances.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 xml:space="preserve">Our outcomes were predictable with the review led by Lin et al. (2011) which carried forward convincing bits of knowledge into the examples of toxin openness causes across unmistakable age accomplices. Their discoveries explained that purposeful harming comprised the essential etiological element among youths, as opposed to unintentional harming, which prevailed among pre-younger students. Significant was the striking reverse relationship </w:t>
      </w:r>
      <w:proofErr w:type="spellStart"/>
      <w:r w:rsidRPr="007B3716">
        <w:rPr>
          <w:rFonts w:asciiTheme="majorBidi" w:hAnsiTheme="majorBidi" w:cstheme="majorBidi"/>
          <w:sz w:val="28"/>
          <w:szCs w:val="28"/>
        </w:rPr>
        <w:t>between's</w:t>
      </w:r>
      <w:proofErr w:type="spellEnd"/>
      <w:r w:rsidRPr="007B3716">
        <w:rPr>
          <w:rFonts w:asciiTheme="majorBidi" w:hAnsiTheme="majorBidi" w:cstheme="majorBidi"/>
          <w:sz w:val="28"/>
          <w:szCs w:val="28"/>
        </w:rPr>
        <w:t xml:space="preserve"> the recurrence of unintentional harming occurrences and ordered age, suggesting a decrease in such cases as youngsters gotten older. Moreover, the review uncovered huge connections connecting the reason for poison openness with age and orientation, highlighting the complicated transaction of these variables in affecting the event of harming occasions. The equal perceptions of a backwards connection </w:t>
      </w:r>
      <w:proofErr w:type="spellStart"/>
      <w:r w:rsidRPr="007B3716">
        <w:rPr>
          <w:rFonts w:asciiTheme="majorBidi" w:hAnsiTheme="majorBidi" w:cstheme="majorBidi"/>
          <w:sz w:val="28"/>
          <w:szCs w:val="28"/>
        </w:rPr>
        <w:t>among's</w:t>
      </w:r>
      <w:proofErr w:type="spellEnd"/>
      <w:r w:rsidRPr="007B3716">
        <w:rPr>
          <w:rFonts w:asciiTheme="majorBidi" w:hAnsiTheme="majorBidi" w:cstheme="majorBidi"/>
          <w:sz w:val="28"/>
          <w:szCs w:val="28"/>
        </w:rPr>
        <w:t xml:space="preserve"> age and incidental harming across the two examinations prove the idea that more youthful people, because of their exploratory way of behaving and restricted acumen, are at a raised gamble of accidental ingestions.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 xml:space="preserve">The review led by Ahmed et al. (2015) reveals insight into an especially weak age bunch as for harming episodes. Their examination obviously distinguished kids matured 1-5 years as the most powerless to harming. Moreover, their discoveries demonstrated a particular relationship between harming from family things and insect sprays, which was only seen among youngsters inside the </w:t>
      </w:r>
      <w:r w:rsidRPr="007B3716">
        <w:rPr>
          <w:rFonts w:asciiTheme="majorBidi" w:hAnsiTheme="majorBidi" w:cstheme="majorBidi"/>
          <w:sz w:val="28"/>
          <w:szCs w:val="28"/>
        </w:rPr>
        <w:lastRenderedPageBreak/>
        <w:t>ages of 1-5 years. This lines up with our review's decisions in regards to the weakness of babies, further supporting the idea that more youthful youngsters are at an elevated gamble of harming episodes.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 xml:space="preserve">Additionally, </w:t>
      </w:r>
      <w:proofErr w:type="spellStart"/>
      <w:r w:rsidRPr="007B3716">
        <w:rPr>
          <w:rFonts w:asciiTheme="majorBidi" w:hAnsiTheme="majorBidi" w:cstheme="majorBidi"/>
          <w:sz w:val="28"/>
          <w:szCs w:val="28"/>
        </w:rPr>
        <w:t>Schmertmann</w:t>
      </w:r>
      <w:proofErr w:type="spellEnd"/>
      <w:r w:rsidRPr="007B3716">
        <w:rPr>
          <w:rFonts w:asciiTheme="majorBidi" w:hAnsiTheme="majorBidi" w:cstheme="majorBidi"/>
          <w:sz w:val="28"/>
          <w:szCs w:val="28"/>
        </w:rPr>
        <w:t xml:space="preserve"> et al. (2014) found that the chances of harming by restorative substances contrasted and non-restorative substances changed with age. More youthful kids were bound to be harmed by non-restorative or family substances than more seasoned youngsters, which </w:t>
      </w:r>
      <w:proofErr w:type="gramStart"/>
      <w:r w:rsidRPr="007B3716">
        <w:rPr>
          <w:rFonts w:asciiTheme="majorBidi" w:hAnsiTheme="majorBidi" w:cstheme="majorBidi"/>
          <w:sz w:val="28"/>
          <w:szCs w:val="28"/>
        </w:rPr>
        <w:t>is</w:t>
      </w:r>
      <w:proofErr w:type="gramEnd"/>
      <w:r w:rsidRPr="007B3716">
        <w:rPr>
          <w:rFonts w:asciiTheme="majorBidi" w:hAnsiTheme="majorBidi" w:cstheme="majorBidi"/>
          <w:sz w:val="28"/>
          <w:szCs w:val="28"/>
        </w:rPr>
        <w:t xml:space="preserve"> to some extent made sense of by the normal stockpiling of these substances near the floor, where they are open to little youngsters.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 xml:space="preserve">In our review, we tracked down critical connections </w:t>
      </w:r>
      <w:proofErr w:type="spellStart"/>
      <w:r w:rsidRPr="007B3716">
        <w:rPr>
          <w:rFonts w:asciiTheme="majorBidi" w:hAnsiTheme="majorBidi" w:cstheme="majorBidi"/>
          <w:sz w:val="28"/>
          <w:szCs w:val="28"/>
        </w:rPr>
        <w:t>between's</w:t>
      </w:r>
      <w:proofErr w:type="spellEnd"/>
      <w:r w:rsidRPr="007B3716">
        <w:rPr>
          <w:rFonts w:asciiTheme="majorBidi" w:hAnsiTheme="majorBidi" w:cstheme="majorBidi"/>
          <w:sz w:val="28"/>
          <w:szCs w:val="28"/>
        </w:rPr>
        <w:t xml:space="preserve"> important bodily functions and harming results. Raised pulses and respiratory rates were connected to poisonous substances, potentially showing pressure and respiratory trouble. Circulatory strain showed experiences, with prescriptions/drugs harming decently relating with systolic pulse and synthetic substances harming pitifully with diastolic circulatory strain. Hemoglobin levels were tolerably adversely corresponded with prescriptions/drugs harming, recommending pallor related side effects. Potassium levels unequivocally corresponded with ICU confirmation, possibly demonstrating extreme harming cases requiring concentrated care.</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As far as toxic substance types, meds/drugs harming related fundamentally with both ICU confirmation and time till release. This proposes that cases including meds/medications might prompt more serious results, requiring ICU care and possibly longer clinic stays. On the other hand, harmful/noxious substances harming showed major areas of strength for a relationship with time till release, demonstrating that such cases could prompt delayed hospitalization for perception and the board.</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lastRenderedPageBreak/>
        <w:t xml:space="preserve">Rather than our discoveries, the review directed by </w:t>
      </w:r>
      <w:proofErr w:type="spellStart"/>
      <w:r w:rsidRPr="007B3716">
        <w:rPr>
          <w:rFonts w:asciiTheme="majorBidi" w:hAnsiTheme="majorBidi" w:cstheme="majorBidi"/>
          <w:sz w:val="28"/>
          <w:szCs w:val="28"/>
        </w:rPr>
        <w:t>Dayasiri</w:t>
      </w:r>
      <w:proofErr w:type="spellEnd"/>
      <w:r w:rsidRPr="007B3716">
        <w:rPr>
          <w:rFonts w:asciiTheme="majorBidi" w:hAnsiTheme="majorBidi" w:cstheme="majorBidi"/>
          <w:sz w:val="28"/>
          <w:szCs w:val="28"/>
        </w:rPr>
        <w:t xml:space="preserve"> et al. (2018) revealed irregularities in the connection between harming occasions and resulting unexpected issues. While a greater part of harming episodes didn't display unexpected issues, a significant piece of youngsters (60.4%) expected move from essential consideration clinics to optional/tertiary consideration offices for additional administration. This disparity proposes that the idea of harming cases and their related results can change generally between studies. The exchange of countless cases regardless of the shortfall of unexpected problems brings up issues about the dynamic cycle in quiet administration and features possible contrasts in medical services practices or assets between the two settings.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 xml:space="preserve">The outcomes acquired in our review line up with the discoveries of Sam et al. (2009) who comparatively featured the vital job of the pre-hospitalization time frame in deciding the seriousness of harming occurrences. Sam et </w:t>
      </w:r>
      <w:proofErr w:type="spellStart"/>
      <w:r w:rsidRPr="007B3716">
        <w:rPr>
          <w:rFonts w:asciiTheme="majorBidi" w:hAnsiTheme="majorBidi" w:cstheme="majorBidi"/>
          <w:sz w:val="28"/>
          <w:szCs w:val="28"/>
        </w:rPr>
        <w:t>al's</w:t>
      </w:r>
      <w:proofErr w:type="spellEnd"/>
      <w:r w:rsidRPr="007B3716">
        <w:rPr>
          <w:rFonts w:asciiTheme="majorBidi" w:hAnsiTheme="majorBidi" w:cstheme="majorBidi"/>
          <w:sz w:val="28"/>
          <w:szCs w:val="28"/>
        </w:rPr>
        <w:t xml:space="preserve">. </w:t>
      </w:r>
      <w:proofErr w:type="gramStart"/>
      <w:r w:rsidRPr="007B3716">
        <w:rPr>
          <w:rFonts w:asciiTheme="majorBidi" w:hAnsiTheme="majorBidi" w:cstheme="majorBidi"/>
          <w:sz w:val="28"/>
          <w:szCs w:val="28"/>
        </w:rPr>
        <w:t>concentrate</w:t>
      </w:r>
      <w:proofErr w:type="gramEnd"/>
      <w:r w:rsidRPr="007B3716">
        <w:rPr>
          <w:rFonts w:asciiTheme="majorBidi" w:hAnsiTheme="majorBidi" w:cstheme="majorBidi"/>
          <w:sz w:val="28"/>
          <w:szCs w:val="28"/>
        </w:rPr>
        <w:t xml:space="preserve"> on underlined the meaning of convenient mediation, distinguishing the length among openness and treatment commencement as a solid prescient component for the seriousness of harming cases. Their experiences resound with our review's connections, proposing that postponed treatment might prompt irreversible organ harm because of pinnacle blood poison levels. Moreover, Sam et al. highlighted the basic significance of early administration in upgrading endurance rates among harmed patients.</w:t>
      </w:r>
    </w:p>
    <w:p w:rsidR="007B3716" w:rsidRPr="007B3716" w:rsidRDefault="007B3716" w:rsidP="007B3716">
      <w:pPr>
        <w:bidi w:val="0"/>
        <w:spacing w:line="360" w:lineRule="auto"/>
        <w:ind w:firstLine="720"/>
        <w:jc w:val="both"/>
        <w:rPr>
          <w:rFonts w:asciiTheme="majorBidi" w:hAnsiTheme="majorBidi" w:cstheme="majorBidi"/>
          <w:sz w:val="28"/>
          <w:szCs w:val="28"/>
        </w:rPr>
      </w:pPr>
      <w:proofErr w:type="spellStart"/>
      <w:r w:rsidRPr="007B3716">
        <w:rPr>
          <w:rFonts w:asciiTheme="majorBidi" w:hAnsiTheme="majorBidi" w:cstheme="majorBidi"/>
          <w:sz w:val="28"/>
          <w:szCs w:val="28"/>
        </w:rPr>
        <w:t>Abdelkader</w:t>
      </w:r>
      <w:proofErr w:type="spellEnd"/>
      <w:r w:rsidRPr="007B3716">
        <w:rPr>
          <w:rFonts w:asciiTheme="majorBidi" w:hAnsiTheme="majorBidi" w:cstheme="majorBidi"/>
          <w:sz w:val="28"/>
          <w:szCs w:val="28"/>
        </w:rPr>
        <w:t xml:space="preserve"> et al. (2022) concentrate correspondingly highlights the meaning of length and timing with regards to harming results. Their discoveries feature a genuinely huge qualification in understanding results concerning the term of medical clinic stay and the time delay between poison admission and clinic appearance. </w:t>
      </w:r>
      <w:proofErr w:type="gramStart"/>
      <w:r w:rsidRPr="007B3716">
        <w:rPr>
          <w:rFonts w:asciiTheme="majorBidi" w:hAnsiTheme="majorBidi" w:cstheme="majorBidi"/>
          <w:sz w:val="28"/>
          <w:szCs w:val="28"/>
        </w:rPr>
        <w:t>This lines</w:t>
      </w:r>
      <w:proofErr w:type="gramEnd"/>
      <w:r w:rsidRPr="007B3716">
        <w:rPr>
          <w:rFonts w:asciiTheme="majorBidi" w:hAnsiTheme="majorBidi" w:cstheme="majorBidi"/>
          <w:sz w:val="28"/>
          <w:szCs w:val="28"/>
        </w:rPr>
        <w:t xml:space="preserve"> up with our review's suggestions that fast mediation and </w:t>
      </w:r>
      <w:r w:rsidRPr="007B3716">
        <w:rPr>
          <w:rFonts w:asciiTheme="majorBidi" w:hAnsiTheme="majorBidi" w:cstheme="majorBidi"/>
          <w:sz w:val="28"/>
          <w:szCs w:val="28"/>
        </w:rPr>
        <w:lastRenderedPageBreak/>
        <w:t>decreased postpone in looking for clinical consideration can add to additional good persistent results in instances of harming.</w:t>
      </w:r>
    </w:p>
    <w:p w:rsid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 xml:space="preserve">Essentially, </w:t>
      </w:r>
      <w:proofErr w:type="spellStart"/>
      <w:r w:rsidRPr="007B3716">
        <w:rPr>
          <w:rFonts w:asciiTheme="majorBidi" w:hAnsiTheme="majorBidi" w:cstheme="majorBidi"/>
          <w:sz w:val="28"/>
          <w:szCs w:val="28"/>
        </w:rPr>
        <w:t>Molla</w:t>
      </w:r>
      <w:proofErr w:type="spellEnd"/>
      <w:r w:rsidRPr="007B3716">
        <w:rPr>
          <w:rFonts w:asciiTheme="majorBidi" w:hAnsiTheme="majorBidi" w:cstheme="majorBidi"/>
          <w:sz w:val="28"/>
          <w:szCs w:val="28"/>
        </w:rPr>
        <w:t xml:space="preserve"> et al. (2022) underscored the basic impact of harming course and openness term on ICU stay and treatment results, supporting the perplexing idea of these variables in deciding patient forecast. Their discoveries stressed that harming through the gastrointestinal system introduced a significantly raised chance of prompting deadly treatment results, roughly 2.5 times higher contrasted with other harming courses. Moreover, an outstanding relationship arose between openness span and the probability of longer ICU stay and lethal results. This study showed poison types and term can expanded clinic stays, possibly influencing a definitive result of clinical </w:t>
      </w:r>
      <w:proofErr w:type="spellStart"/>
      <w:r w:rsidRPr="007B3716">
        <w:rPr>
          <w:rFonts w:asciiTheme="majorBidi" w:hAnsiTheme="majorBidi" w:cstheme="majorBidi"/>
          <w:sz w:val="28"/>
          <w:szCs w:val="28"/>
        </w:rPr>
        <w:t>consideration.</w:t>
      </w:r>
      <w:proofErr w:type="spellEnd"/>
    </w:p>
    <w:p w:rsidR="00AF4003" w:rsidRDefault="00AF4003" w:rsidP="00AF4003">
      <w:pPr>
        <w:bidi w:val="0"/>
        <w:spacing w:line="360" w:lineRule="auto"/>
        <w:ind w:firstLine="720"/>
        <w:jc w:val="both"/>
        <w:rPr>
          <w:rFonts w:asciiTheme="majorBidi" w:hAnsiTheme="majorBidi" w:cstheme="majorBidi"/>
          <w:sz w:val="28"/>
          <w:szCs w:val="28"/>
          <w:shd w:val="clear" w:color="auto" w:fill="FFFFFF"/>
        </w:rPr>
      </w:pPr>
    </w:p>
    <w:p w:rsidR="00AF4003" w:rsidRDefault="00AF4003" w:rsidP="00AF4003">
      <w:pPr>
        <w:bidi w:val="0"/>
        <w:spacing w:line="360" w:lineRule="auto"/>
        <w:ind w:firstLine="720"/>
        <w:jc w:val="both"/>
        <w:rPr>
          <w:rFonts w:asciiTheme="majorBidi" w:hAnsiTheme="majorBidi" w:cstheme="majorBidi"/>
          <w:sz w:val="28"/>
          <w:szCs w:val="28"/>
          <w:shd w:val="clear" w:color="auto" w:fill="FFFFFF"/>
        </w:rPr>
      </w:pPr>
    </w:p>
    <w:p w:rsidR="00AF4003" w:rsidRDefault="00AF4003" w:rsidP="00AF4003">
      <w:pPr>
        <w:bidi w:val="0"/>
        <w:spacing w:line="360" w:lineRule="auto"/>
        <w:ind w:firstLine="720"/>
        <w:jc w:val="both"/>
        <w:rPr>
          <w:rFonts w:asciiTheme="majorBidi" w:hAnsiTheme="majorBidi" w:cstheme="majorBidi"/>
          <w:sz w:val="28"/>
          <w:szCs w:val="28"/>
          <w:shd w:val="clear" w:color="auto" w:fill="FFFFFF"/>
        </w:rPr>
      </w:pPr>
    </w:p>
    <w:p w:rsidR="00AF4003" w:rsidRDefault="00AF4003" w:rsidP="00AF4003">
      <w:pPr>
        <w:bidi w:val="0"/>
        <w:spacing w:line="360" w:lineRule="auto"/>
        <w:ind w:firstLine="720"/>
        <w:jc w:val="both"/>
        <w:rPr>
          <w:rFonts w:asciiTheme="majorBidi" w:hAnsiTheme="majorBidi" w:cstheme="majorBidi"/>
          <w:sz w:val="28"/>
          <w:szCs w:val="28"/>
          <w:shd w:val="clear" w:color="auto" w:fill="FFFFFF"/>
        </w:rPr>
      </w:pPr>
    </w:p>
    <w:p w:rsidR="00AF4003" w:rsidRDefault="00AF4003" w:rsidP="00AF4003">
      <w:pPr>
        <w:bidi w:val="0"/>
        <w:spacing w:line="360" w:lineRule="auto"/>
        <w:ind w:firstLine="720"/>
        <w:jc w:val="both"/>
        <w:rPr>
          <w:rFonts w:asciiTheme="majorBidi" w:hAnsiTheme="majorBidi" w:cstheme="majorBidi"/>
          <w:sz w:val="28"/>
          <w:szCs w:val="28"/>
          <w:shd w:val="clear" w:color="auto" w:fill="FFFFFF"/>
        </w:rPr>
      </w:pPr>
    </w:p>
    <w:p w:rsidR="00AF4003" w:rsidRDefault="00AF4003" w:rsidP="00AF4003">
      <w:pPr>
        <w:bidi w:val="0"/>
        <w:spacing w:line="360" w:lineRule="auto"/>
        <w:ind w:firstLine="720"/>
        <w:jc w:val="both"/>
        <w:rPr>
          <w:rFonts w:asciiTheme="majorBidi" w:hAnsiTheme="majorBidi" w:cstheme="majorBidi"/>
          <w:sz w:val="28"/>
          <w:szCs w:val="28"/>
        </w:rPr>
        <w:sectPr w:rsidR="00AF4003">
          <w:headerReference w:type="default" r:id="rId36"/>
          <w:pgSz w:w="12240" w:h="15840"/>
          <w:pgMar w:top="1440" w:right="1440" w:bottom="1440" w:left="1440" w:header="720" w:footer="720" w:gutter="0"/>
          <w:cols w:space="720"/>
          <w:docGrid w:linePitch="360"/>
        </w:sectPr>
      </w:pPr>
    </w:p>
    <w:p w:rsidR="00074956" w:rsidRDefault="00074956" w:rsidP="00AF4003">
      <w:pPr>
        <w:bidi w:val="0"/>
        <w:spacing w:line="360" w:lineRule="auto"/>
        <w:jc w:val="center"/>
        <w:rPr>
          <w:rFonts w:asciiTheme="majorBidi" w:hAnsiTheme="majorBidi" w:cstheme="majorBidi"/>
          <w:b/>
          <w:bCs/>
          <w:sz w:val="44"/>
          <w:szCs w:val="44"/>
        </w:rPr>
      </w:pPr>
      <w:r w:rsidRPr="00DF12F4">
        <w:rPr>
          <w:rFonts w:asciiTheme="majorBidi" w:hAnsiTheme="majorBidi" w:cstheme="majorBidi"/>
          <w:b/>
          <w:bCs/>
          <w:sz w:val="44"/>
          <w:szCs w:val="44"/>
        </w:rPr>
        <w:lastRenderedPageBreak/>
        <w:t>Summary</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Youth harming is a huge worry in pediatric wellbeing because of unintentional openness to destructive substances that can damage or kill cells. Kids' regular interest frequently prompts them unwittingly ingesting, breathing in, retaining, or infusing poisonous specialists. To resolve this issue, it's critical to zero in on counteraction, the executives, and comprehension of pediatric harming. The desperation originates from the weakness of kids and their exploratory inclinations. Quick mediation is fundamental to forestall side effect heightening, and a multidisciplinary approach including clinical experts, guardians, teachers, and policymakers is important. From prompt advances like toxic substance expulsion to specific therapies, the administration cycle features the crossing point of clinical science, brain research, and social help.</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The results of pediatric harming cases have expansive ramifications for transient recuperation and long haul wellbeing. Factors, for example, the toxin type, sum, kid's age, clinical intercession practicality, and fundamental ailments impact results. The range of results fluctuates, going from full recuperation in gentle cases to extreme occasions causing organ harm or demise. Understanding these variables is urgent for directing clinical choices, enhancing mediations, and refining preventive methodologies. Given the worldwide commonness of young life harming and likely results, an extensive methodology is fundamental. This approach incorporates general wellbeing drives, training efforts, clinical progressions, and strategy changes to all in all establish a more secure climate for kids, diminishing the weight of this preventable wellbeing challenge.</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The primary point of the review was to assess the predominance of harming occurrences in kids, assess the executives, and determine the subsequent results.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lastRenderedPageBreak/>
        <w:t xml:space="preserve">This review study was completed at the Pediatric Division and Pediatric Emergency unit </w:t>
      </w:r>
      <w:proofErr w:type="spellStart"/>
      <w:r w:rsidRPr="007B3716">
        <w:rPr>
          <w:rFonts w:asciiTheme="majorBidi" w:hAnsiTheme="majorBidi" w:cstheme="majorBidi"/>
          <w:sz w:val="28"/>
          <w:szCs w:val="28"/>
        </w:rPr>
        <w:t>Qena</w:t>
      </w:r>
      <w:proofErr w:type="spellEnd"/>
      <w:r w:rsidRPr="007B3716">
        <w:rPr>
          <w:rFonts w:asciiTheme="majorBidi" w:hAnsiTheme="majorBidi" w:cstheme="majorBidi"/>
          <w:sz w:val="28"/>
          <w:szCs w:val="28"/>
        </w:rPr>
        <w:t xml:space="preserve"> College Medical clinic, Egypt, traversing from January 2020 to December 2021. The review selected subjects in view of consideration models, which enveloped all patients confessed to the pediatric division with side effects reminiscent of, not entirely settled by history, actual assessment, and research facility evaluations. Altogether, 100 patients meeting these rules were remembered for the investigation.</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The primary outcomes were as per the following:</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Concentrate on zeroed in on pediatric harming cases, breaking down tolerant attributes, poison types, important bodily functions, purification strategies, medicines, blood boundaries, and relationships with results.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Patients' mean age: 3.78 years. Age gatherings: babies (39%), little children (32%), preschoolers (12%), young kids (7%), teenagers (10%).</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Orientation dissemination: 67% female, 33% male. Mean weight: 15.78 kg. Metropolitan region home: 59%, provincial: 41%.</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Delay among harming and emergency clinic passage: middle 60 minutes (range: 0.5 - 3 hours).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Sorts of toxin: meds/drugs (33%), harmful/noxious substances (14%), compound substances (53%).</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 xml:space="preserve">Normal harming substances: antipsychotic prescription (7%), </w:t>
      </w:r>
      <w:proofErr w:type="spellStart"/>
      <w:r w:rsidRPr="007B3716">
        <w:rPr>
          <w:rFonts w:asciiTheme="majorBidi" w:hAnsiTheme="majorBidi" w:cstheme="majorBidi"/>
          <w:sz w:val="28"/>
          <w:szCs w:val="28"/>
        </w:rPr>
        <w:t>Clozapex</w:t>
      </w:r>
      <w:proofErr w:type="spellEnd"/>
      <w:r w:rsidRPr="007B3716">
        <w:rPr>
          <w:rFonts w:asciiTheme="majorBidi" w:hAnsiTheme="majorBidi" w:cstheme="majorBidi"/>
          <w:sz w:val="28"/>
          <w:szCs w:val="28"/>
        </w:rPr>
        <w:t xml:space="preserve"> (noticeable), </w:t>
      </w:r>
      <w:proofErr w:type="spellStart"/>
      <w:r w:rsidRPr="007B3716">
        <w:rPr>
          <w:rFonts w:asciiTheme="majorBidi" w:hAnsiTheme="majorBidi" w:cstheme="majorBidi"/>
          <w:sz w:val="28"/>
          <w:szCs w:val="28"/>
        </w:rPr>
        <w:t>Depakine</w:t>
      </w:r>
      <w:proofErr w:type="spellEnd"/>
      <w:r w:rsidRPr="007B3716">
        <w:rPr>
          <w:rFonts w:asciiTheme="majorBidi" w:hAnsiTheme="majorBidi" w:cstheme="majorBidi"/>
          <w:sz w:val="28"/>
          <w:szCs w:val="28"/>
        </w:rPr>
        <w:t xml:space="preserve"> (7%), </w:t>
      </w:r>
      <w:proofErr w:type="spellStart"/>
      <w:r w:rsidRPr="007B3716">
        <w:rPr>
          <w:rFonts w:asciiTheme="majorBidi" w:hAnsiTheme="majorBidi" w:cstheme="majorBidi"/>
          <w:sz w:val="28"/>
          <w:szCs w:val="28"/>
        </w:rPr>
        <w:t>Indral</w:t>
      </w:r>
      <w:proofErr w:type="spellEnd"/>
      <w:r w:rsidRPr="007B3716">
        <w:rPr>
          <w:rFonts w:asciiTheme="majorBidi" w:hAnsiTheme="majorBidi" w:cstheme="majorBidi"/>
          <w:sz w:val="28"/>
          <w:szCs w:val="28"/>
        </w:rPr>
        <w:t xml:space="preserve"> (6%), destructive/scathing substances (7%), phenol (7%), </w:t>
      </w:r>
      <w:proofErr w:type="spellStart"/>
      <w:r w:rsidRPr="007B3716">
        <w:rPr>
          <w:rFonts w:asciiTheme="majorBidi" w:hAnsiTheme="majorBidi" w:cstheme="majorBidi"/>
          <w:sz w:val="28"/>
          <w:szCs w:val="28"/>
        </w:rPr>
        <w:t>Clorex</w:t>
      </w:r>
      <w:proofErr w:type="spellEnd"/>
      <w:r w:rsidRPr="007B3716">
        <w:rPr>
          <w:rFonts w:asciiTheme="majorBidi" w:hAnsiTheme="majorBidi" w:cstheme="majorBidi"/>
          <w:sz w:val="28"/>
          <w:szCs w:val="28"/>
        </w:rPr>
        <w:t xml:space="preserve"> (5%), </w:t>
      </w:r>
      <w:proofErr w:type="spellStart"/>
      <w:r w:rsidRPr="007B3716">
        <w:rPr>
          <w:rFonts w:asciiTheme="majorBidi" w:hAnsiTheme="majorBidi" w:cstheme="majorBidi"/>
          <w:sz w:val="28"/>
          <w:szCs w:val="28"/>
        </w:rPr>
        <w:t>maryjane</w:t>
      </w:r>
      <w:proofErr w:type="spellEnd"/>
      <w:r w:rsidRPr="007B3716">
        <w:rPr>
          <w:rFonts w:asciiTheme="majorBidi" w:hAnsiTheme="majorBidi" w:cstheme="majorBidi"/>
          <w:sz w:val="28"/>
          <w:szCs w:val="28"/>
        </w:rPr>
        <w:t xml:space="preserve"> (8%), botulism (3%), PPD (3%), iron enhancements (6%), rodenticides (7%), insect sprays (6%).</w:t>
      </w:r>
    </w:p>
    <w:p w:rsidR="007B3716" w:rsidRPr="007B3716" w:rsidRDefault="007B3716" w:rsidP="007B3716">
      <w:pPr>
        <w:bidi w:val="0"/>
        <w:spacing w:line="360" w:lineRule="auto"/>
        <w:ind w:firstLine="720"/>
        <w:jc w:val="both"/>
        <w:rPr>
          <w:rFonts w:asciiTheme="majorBidi" w:hAnsiTheme="majorBidi" w:cstheme="majorBidi"/>
          <w:sz w:val="28"/>
          <w:szCs w:val="28"/>
          <w:rtl/>
        </w:rPr>
      </w:pPr>
      <w:r w:rsidRPr="007B3716">
        <w:rPr>
          <w:rFonts w:asciiTheme="majorBidi" w:hAnsiTheme="majorBidi" w:cstheme="majorBidi"/>
          <w:sz w:val="28"/>
          <w:szCs w:val="28"/>
        </w:rPr>
        <w:lastRenderedPageBreak/>
        <w:t>•</w:t>
      </w:r>
      <w:r w:rsidRPr="007B3716">
        <w:rPr>
          <w:rFonts w:asciiTheme="majorBidi" w:hAnsiTheme="majorBidi" w:cstheme="majorBidi"/>
          <w:sz w:val="28"/>
          <w:szCs w:val="28"/>
        </w:rPr>
        <w:tab/>
        <w:t xml:space="preserve">Important bodily functions: pulse (HR): 58-160 </w:t>
      </w:r>
      <w:proofErr w:type="spellStart"/>
      <w:r w:rsidRPr="007B3716">
        <w:rPr>
          <w:rFonts w:asciiTheme="majorBidi" w:hAnsiTheme="majorBidi" w:cstheme="majorBidi"/>
          <w:sz w:val="28"/>
          <w:szCs w:val="28"/>
        </w:rPr>
        <w:t>bpm</w:t>
      </w:r>
      <w:proofErr w:type="spellEnd"/>
      <w:r w:rsidRPr="007B3716">
        <w:rPr>
          <w:rFonts w:asciiTheme="majorBidi" w:hAnsiTheme="majorBidi" w:cstheme="majorBidi"/>
          <w:sz w:val="28"/>
          <w:szCs w:val="28"/>
        </w:rPr>
        <w:t xml:space="preserve"> (normal: 93 </w:t>
      </w:r>
      <w:proofErr w:type="spellStart"/>
      <w:r w:rsidRPr="007B3716">
        <w:rPr>
          <w:rFonts w:asciiTheme="majorBidi" w:hAnsiTheme="majorBidi" w:cstheme="majorBidi"/>
          <w:sz w:val="28"/>
          <w:szCs w:val="28"/>
        </w:rPr>
        <w:t>bpm</w:t>
      </w:r>
      <w:proofErr w:type="spellEnd"/>
      <w:r w:rsidRPr="007B3716">
        <w:rPr>
          <w:rFonts w:asciiTheme="majorBidi" w:hAnsiTheme="majorBidi" w:cstheme="majorBidi"/>
          <w:sz w:val="28"/>
          <w:szCs w:val="28"/>
        </w:rPr>
        <w:t>), respiratory rate (RR): 14-46 breaths/min (normal: 26 breaths/min), systolic circulatory strain (SBP): 67-125 mmHg (normal: 93 mmHg), diastolic pulse (DBP): 26-76 mmHg (normal: 56 mmHg).</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 xml:space="preserve">Normal introductions: hypotension (25%), </w:t>
      </w:r>
      <w:proofErr w:type="spellStart"/>
      <w:r w:rsidRPr="007B3716">
        <w:rPr>
          <w:rFonts w:asciiTheme="majorBidi" w:hAnsiTheme="majorBidi" w:cstheme="majorBidi"/>
          <w:sz w:val="28"/>
          <w:szCs w:val="28"/>
        </w:rPr>
        <w:t>bradycardia</w:t>
      </w:r>
      <w:proofErr w:type="spellEnd"/>
      <w:r w:rsidRPr="007B3716">
        <w:rPr>
          <w:rFonts w:asciiTheme="majorBidi" w:hAnsiTheme="majorBidi" w:cstheme="majorBidi"/>
          <w:sz w:val="28"/>
          <w:szCs w:val="28"/>
        </w:rPr>
        <w:t xml:space="preserve"> (5%), respiratory misery (49%), retching (38%), different neurological side effects.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Purification: gastric wash (77%), weakening treatment (22%).</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 xml:space="preserve">Cure medicines: enacted charcoal (5%), </w:t>
      </w:r>
      <w:proofErr w:type="spellStart"/>
      <w:r w:rsidRPr="007B3716">
        <w:rPr>
          <w:rFonts w:asciiTheme="majorBidi" w:hAnsiTheme="majorBidi" w:cstheme="majorBidi"/>
          <w:sz w:val="28"/>
          <w:szCs w:val="28"/>
        </w:rPr>
        <w:t>botulium</w:t>
      </w:r>
      <w:proofErr w:type="spellEnd"/>
      <w:r w:rsidRPr="007B3716">
        <w:rPr>
          <w:rFonts w:asciiTheme="majorBidi" w:hAnsiTheme="majorBidi" w:cstheme="majorBidi"/>
          <w:sz w:val="28"/>
          <w:szCs w:val="28"/>
        </w:rPr>
        <w:t xml:space="preserve"> antidote (6%), atropine (17%), </w:t>
      </w:r>
      <w:proofErr w:type="spellStart"/>
      <w:r w:rsidRPr="007B3716">
        <w:rPr>
          <w:rFonts w:asciiTheme="majorBidi" w:hAnsiTheme="majorBidi" w:cstheme="majorBidi"/>
          <w:sz w:val="28"/>
          <w:szCs w:val="28"/>
        </w:rPr>
        <w:t>defroxamine</w:t>
      </w:r>
      <w:proofErr w:type="spellEnd"/>
      <w:r w:rsidRPr="007B3716">
        <w:rPr>
          <w:rFonts w:asciiTheme="majorBidi" w:hAnsiTheme="majorBidi" w:cstheme="majorBidi"/>
          <w:sz w:val="28"/>
          <w:szCs w:val="28"/>
        </w:rPr>
        <w:t xml:space="preserve"> (5%), egg white (5%).</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Indicative treatment: steroids (22%), general suggestive medicines (6%).</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Anti-toxins utilized in 60% of cases.</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Blood boundaries inside ordinary reaches: hemoglobin (</w:t>
      </w:r>
      <w:proofErr w:type="spellStart"/>
      <w:r w:rsidRPr="007B3716">
        <w:rPr>
          <w:rFonts w:asciiTheme="majorBidi" w:hAnsiTheme="majorBidi" w:cstheme="majorBidi"/>
          <w:sz w:val="28"/>
          <w:szCs w:val="28"/>
        </w:rPr>
        <w:t>Hb</w:t>
      </w:r>
      <w:proofErr w:type="spellEnd"/>
      <w:r w:rsidRPr="007B3716">
        <w:rPr>
          <w:rFonts w:asciiTheme="majorBidi" w:hAnsiTheme="majorBidi" w:cstheme="majorBidi"/>
          <w:sz w:val="28"/>
          <w:szCs w:val="28"/>
        </w:rPr>
        <w:t xml:space="preserve">), white platelet count (WBCs), red platelet count (RBCs), mean corpuscular volume (MCV), mean corpuscular hemoglobin (MCH), pH, halfway tension of oxygen (PaO2), fractional strain of carbon dioxide (PaCO2), bicarbonate (HCO3), </w:t>
      </w:r>
      <w:proofErr w:type="spellStart"/>
      <w:r w:rsidRPr="007B3716">
        <w:rPr>
          <w:rFonts w:asciiTheme="majorBidi" w:hAnsiTheme="majorBidi" w:cstheme="majorBidi"/>
          <w:sz w:val="28"/>
          <w:szCs w:val="28"/>
        </w:rPr>
        <w:t>creatinine</w:t>
      </w:r>
      <w:proofErr w:type="spellEnd"/>
      <w:r w:rsidRPr="007B3716">
        <w:rPr>
          <w:rFonts w:asciiTheme="majorBidi" w:hAnsiTheme="majorBidi" w:cstheme="majorBidi"/>
          <w:sz w:val="28"/>
          <w:szCs w:val="28"/>
        </w:rPr>
        <w:t>, blood urea nitrogen (BUN), liver catalysts, all out bilirubin, sodium, potassium, calcium.</w:t>
      </w:r>
    </w:p>
    <w:p w:rsidR="007B3716" w:rsidRP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 xml:space="preserve">ICU confirmation: 44% </w:t>
      </w:r>
      <w:proofErr w:type="gramStart"/>
      <w:r w:rsidRPr="007B3716">
        <w:rPr>
          <w:rFonts w:asciiTheme="majorBidi" w:hAnsiTheme="majorBidi" w:cstheme="majorBidi"/>
          <w:sz w:val="28"/>
          <w:szCs w:val="28"/>
        </w:rPr>
        <w:t>required,</w:t>
      </w:r>
      <w:proofErr w:type="gramEnd"/>
      <w:r w:rsidRPr="007B3716">
        <w:rPr>
          <w:rFonts w:asciiTheme="majorBidi" w:hAnsiTheme="majorBidi" w:cstheme="majorBidi"/>
          <w:sz w:val="28"/>
          <w:szCs w:val="28"/>
        </w:rPr>
        <w:t xml:space="preserve"> normal stay: 2.14 days. Pediatric office stay: 1.69 days, release time: 2.63 days.</w:t>
      </w:r>
    </w:p>
    <w:p w:rsidR="007B3716" w:rsidRDefault="007B3716" w:rsidP="007B3716">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 xml:space="preserve">Relationships: Age corresponded with poison type, baby connection with medicine harming, little child connection with compound substance harming, preschooler relationship with prescription harming, negative connections </w:t>
      </w:r>
      <w:proofErr w:type="spellStart"/>
      <w:r w:rsidRPr="007B3716">
        <w:rPr>
          <w:rFonts w:asciiTheme="majorBidi" w:hAnsiTheme="majorBidi" w:cstheme="majorBidi"/>
          <w:sz w:val="28"/>
          <w:szCs w:val="28"/>
        </w:rPr>
        <w:t>between's</w:t>
      </w:r>
      <w:proofErr w:type="spellEnd"/>
      <w:r w:rsidRPr="007B3716">
        <w:rPr>
          <w:rFonts w:asciiTheme="majorBidi" w:hAnsiTheme="majorBidi" w:cstheme="majorBidi"/>
          <w:sz w:val="28"/>
          <w:szCs w:val="28"/>
        </w:rPr>
        <w:t xml:space="preserve"> </w:t>
      </w:r>
      <w:r w:rsidRPr="007B3716">
        <w:rPr>
          <w:rFonts w:asciiTheme="majorBidi" w:hAnsiTheme="majorBidi" w:cstheme="majorBidi"/>
          <w:sz w:val="28"/>
          <w:szCs w:val="28"/>
        </w:rPr>
        <w:lastRenderedPageBreak/>
        <w:t xml:space="preserve">HR, RR, DBP, </w:t>
      </w:r>
      <w:proofErr w:type="spellStart"/>
      <w:r w:rsidRPr="007B3716">
        <w:rPr>
          <w:rFonts w:asciiTheme="majorBidi" w:hAnsiTheme="majorBidi" w:cstheme="majorBidi"/>
          <w:sz w:val="28"/>
          <w:szCs w:val="28"/>
        </w:rPr>
        <w:t>Hb</w:t>
      </w:r>
      <w:proofErr w:type="spellEnd"/>
      <w:r w:rsidRPr="007B3716">
        <w:rPr>
          <w:rFonts w:asciiTheme="majorBidi" w:hAnsiTheme="majorBidi" w:cstheme="majorBidi"/>
          <w:sz w:val="28"/>
          <w:szCs w:val="28"/>
        </w:rPr>
        <w:t xml:space="preserve">, and PaO2 with ICU, negative relationship </w:t>
      </w:r>
      <w:proofErr w:type="spellStart"/>
      <w:r w:rsidRPr="007B3716">
        <w:rPr>
          <w:rFonts w:asciiTheme="majorBidi" w:hAnsiTheme="majorBidi" w:cstheme="majorBidi"/>
          <w:sz w:val="28"/>
          <w:szCs w:val="28"/>
        </w:rPr>
        <w:t>between's</w:t>
      </w:r>
      <w:proofErr w:type="spellEnd"/>
      <w:r w:rsidRPr="007B3716">
        <w:rPr>
          <w:rFonts w:asciiTheme="majorBidi" w:hAnsiTheme="majorBidi" w:cstheme="majorBidi"/>
          <w:sz w:val="28"/>
          <w:szCs w:val="28"/>
        </w:rPr>
        <w:t xml:space="preserve"> male sex and time till release, positive relationships </w:t>
      </w:r>
      <w:proofErr w:type="spellStart"/>
      <w:r w:rsidRPr="007B3716">
        <w:rPr>
          <w:rFonts w:asciiTheme="majorBidi" w:hAnsiTheme="majorBidi" w:cstheme="majorBidi"/>
          <w:sz w:val="28"/>
          <w:szCs w:val="28"/>
        </w:rPr>
        <w:t>between's</w:t>
      </w:r>
      <w:proofErr w:type="spellEnd"/>
      <w:r w:rsidRPr="007B3716">
        <w:rPr>
          <w:rFonts w:asciiTheme="majorBidi" w:hAnsiTheme="majorBidi" w:cstheme="majorBidi"/>
          <w:sz w:val="28"/>
          <w:szCs w:val="28"/>
        </w:rPr>
        <w:t xml:space="preserve"> HR, RR, and K with time till release.</w:t>
      </w:r>
    </w:p>
    <w:p w:rsidR="007461CB" w:rsidRDefault="007461CB" w:rsidP="005B04A4">
      <w:pPr>
        <w:bidi w:val="0"/>
        <w:spacing w:line="360" w:lineRule="auto"/>
        <w:jc w:val="both"/>
        <w:rPr>
          <w:rFonts w:asciiTheme="majorBidi" w:hAnsiTheme="majorBidi" w:cstheme="majorBidi"/>
          <w:b/>
          <w:bCs/>
          <w:sz w:val="28"/>
          <w:szCs w:val="28"/>
        </w:rPr>
        <w:sectPr w:rsidR="007461CB">
          <w:headerReference w:type="default" r:id="rId37"/>
          <w:pgSz w:w="12240" w:h="15840"/>
          <w:pgMar w:top="1440" w:right="1440" w:bottom="1440" w:left="1440" w:header="720" w:footer="720" w:gutter="0"/>
          <w:cols w:space="720"/>
          <w:docGrid w:linePitch="360"/>
        </w:sectPr>
      </w:pPr>
    </w:p>
    <w:p w:rsidR="00074956" w:rsidRDefault="00074956" w:rsidP="007461CB">
      <w:pPr>
        <w:bidi w:val="0"/>
        <w:spacing w:line="360" w:lineRule="auto"/>
        <w:jc w:val="center"/>
        <w:rPr>
          <w:rFonts w:asciiTheme="majorBidi" w:hAnsiTheme="majorBidi" w:cstheme="majorBidi"/>
          <w:b/>
          <w:bCs/>
          <w:sz w:val="44"/>
          <w:szCs w:val="44"/>
        </w:rPr>
      </w:pPr>
      <w:r w:rsidRPr="00DF12F4">
        <w:rPr>
          <w:rFonts w:asciiTheme="majorBidi" w:hAnsiTheme="majorBidi" w:cstheme="majorBidi"/>
          <w:b/>
          <w:bCs/>
          <w:sz w:val="44"/>
          <w:szCs w:val="44"/>
        </w:rPr>
        <w:lastRenderedPageBreak/>
        <w:t>Conclusion</w:t>
      </w:r>
    </w:p>
    <w:p w:rsidR="005B04A4" w:rsidRDefault="005B04A4" w:rsidP="005B04A4">
      <w:pPr>
        <w:bidi w:val="0"/>
        <w:spacing w:line="360" w:lineRule="auto"/>
        <w:jc w:val="center"/>
        <w:rPr>
          <w:rFonts w:eastAsia="Times New Roman" w:cs="Times New Roman"/>
          <w:b/>
          <w:bCs/>
          <w:color w:val="000000"/>
          <w:sz w:val="32"/>
          <w:szCs w:val="32"/>
        </w:rPr>
      </w:pPr>
    </w:p>
    <w:p w:rsidR="007B3716" w:rsidRDefault="007B3716" w:rsidP="005B04A4">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 xml:space="preserve">The review gives an extensive investigation of pediatric harming cases, incorporating segment information, poison types, clinical introductions, the executives methodologies, research center discoveries, ICU confirmation rates, and relationships </w:t>
      </w:r>
      <w:proofErr w:type="spellStart"/>
      <w:r w:rsidRPr="007B3716">
        <w:rPr>
          <w:rFonts w:asciiTheme="majorBidi" w:hAnsiTheme="majorBidi" w:cstheme="majorBidi"/>
          <w:sz w:val="28"/>
          <w:szCs w:val="28"/>
        </w:rPr>
        <w:t>between's</w:t>
      </w:r>
      <w:proofErr w:type="spellEnd"/>
      <w:r w:rsidRPr="007B3716">
        <w:rPr>
          <w:rFonts w:asciiTheme="majorBidi" w:hAnsiTheme="majorBidi" w:cstheme="majorBidi"/>
          <w:sz w:val="28"/>
          <w:szCs w:val="28"/>
        </w:rPr>
        <w:t xml:space="preserve"> factors. The discoveries feature the different scope of toxin types and their related clinical appearances, as well as the basic job of clinical mediations in dealing with these cases. The relationships distinguished add to a superior comprehension of the variables impacting ICU confirmation and length of medical clinic stay in pediatric harming cases. This study highlights the significance of </w:t>
      </w:r>
      <w:proofErr w:type="gramStart"/>
      <w:r w:rsidRPr="007B3716">
        <w:rPr>
          <w:rFonts w:asciiTheme="majorBidi" w:hAnsiTheme="majorBidi" w:cstheme="majorBidi"/>
          <w:sz w:val="28"/>
          <w:szCs w:val="28"/>
        </w:rPr>
        <w:t>proceeded</w:t>
      </w:r>
      <w:proofErr w:type="gramEnd"/>
      <w:r w:rsidRPr="007B3716">
        <w:rPr>
          <w:rFonts w:asciiTheme="majorBidi" w:hAnsiTheme="majorBidi" w:cstheme="majorBidi"/>
          <w:sz w:val="28"/>
          <w:szCs w:val="28"/>
        </w:rPr>
        <w:t xml:space="preserve"> with research and careful administration to guarantee ideal results for harmed kids.</w:t>
      </w:r>
    </w:p>
    <w:p w:rsidR="00AC2EAE" w:rsidRDefault="00AC2EAE" w:rsidP="00090EDC">
      <w:pPr>
        <w:bidi w:val="0"/>
        <w:spacing w:line="360" w:lineRule="auto"/>
        <w:jc w:val="center"/>
        <w:rPr>
          <w:rFonts w:asciiTheme="majorBidi" w:hAnsiTheme="majorBidi" w:cstheme="majorBidi"/>
          <w:b/>
          <w:bCs/>
          <w:sz w:val="44"/>
          <w:szCs w:val="44"/>
          <w:rtl/>
        </w:rPr>
      </w:pPr>
    </w:p>
    <w:p w:rsidR="00AC2EAE" w:rsidRDefault="00AC2EAE">
      <w:pPr>
        <w:bidi w:val="0"/>
        <w:spacing w:after="160" w:line="259" w:lineRule="auto"/>
        <w:rPr>
          <w:rFonts w:asciiTheme="majorBidi" w:hAnsiTheme="majorBidi" w:cstheme="majorBidi"/>
          <w:b/>
          <w:bCs/>
          <w:sz w:val="44"/>
          <w:szCs w:val="44"/>
        </w:rPr>
        <w:sectPr w:rsidR="00AC2EAE" w:rsidSect="007461CB">
          <w:headerReference w:type="default" r:id="rId38"/>
          <w:footerReference w:type="default" r:id="rId39"/>
          <w:pgSz w:w="12240" w:h="15840"/>
          <w:pgMar w:top="1440" w:right="1440" w:bottom="1440" w:left="1440" w:header="720" w:footer="720" w:gutter="0"/>
          <w:cols w:space="720"/>
          <w:docGrid w:linePitch="360"/>
        </w:sectPr>
      </w:pPr>
      <w:r>
        <w:rPr>
          <w:rFonts w:asciiTheme="majorBidi" w:hAnsiTheme="majorBidi" w:cstheme="majorBidi"/>
          <w:b/>
          <w:bCs/>
          <w:sz w:val="44"/>
          <w:szCs w:val="44"/>
        </w:rPr>
        <w:br w:type="page"/>
      </w:r>
    </w:p>
    <w:p w:rsidR="00074956" w:rsidRDefault="00074956" w:rsidP="005B04A4">
      <w:pPr>
        <w:bidi w:val="0"/>
        <w:spacing w:line="360" w:lineRule="auto"/>
        <w:jc w:val="center"/>
        <w:rPr>
          <w:rFonts w:asciiTheme="majorBidi" w:hAnsiTheme="majorBidi" w:cstheme="majorBidi"/>
          <w:b/>
          <w:bCs/>
          <w:sz w:val="44"/>
          <w:szCs w:val="44"/>
        </w:rPr>
      </w:pPr>
      <w:r w:rsidRPr="005B04A4">
        <w:rPr>
          <w:rFonts w:asciiTheme="majorBidi" w:hAnsiTheme="majorBidi" w:cstheme="majorBidi"/>
          <w:b/>
          <w:bCs/>
          <w:sz w:val="44"/>
          <w:szCs w:val="44"/>
        </w:rPr>
        <w:lastRenderedPageBreak/>
        <w:t>Recommendations</w:t>
      </w:r>
    </w:p>
    <w:p w:rsidR="007B3716" w:rsidRPr="007B3716" w:rsidRDefault="007B3716" w:rsidP="007B3716">
      <w:pPr>
        <w:bidi w:val="0"/>
        <w:spacing w:after="160" w:line="360" w:lineRule="auto"/>
        <w:ind w:left="270" w:hanging="270"/>
        <w:jc w:val="both"/>
        <w:rPr>
          <w:rFonts w:asciiTheme="majorBidi" w:hAnsiTheme="majorBidi" w:cstheme="majorBidi"/>
          <w:sz w:val="28"/>
          <w:szCs w:val="28"/>
          <w:rtl/>
        </w:rPr>
      </w:pPr>
    </w:p>
    <w:p w:rsidR="007B3716" w:rsidRPr="007B3716" w:rsidRDefault="007B3716" w:rsidP="007B3716">
      <w:pPr>
        <w:bidi w:val="0"/>
        <w:spacing w:after="160" w:line="360" w:lineRule="auto"/>
        <w:ind w:left="270" w:hanging="27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We suggest further imminent, multicenter concentrates on enveloping different geological locales and segment populaces to upgrade the generalizability of discoveries. Moreover, exploring the unpredictable interaction of financial elements and family conditions could divulge further experiences into the etiological underpinnings of pediatric harming episodes.</w:t>
      </w:r>
    </w:p>
    <w:p w:rsidR="007B3716" w:rsidRPr="007B3716" w:rsidRDefault="007B3716" w:rsidP="007B3716">
      <w:pPr>
        <w:bidi w:val="0"/>
        <w:spacing w:after="160" w:line="360" w:lineRule="auto"/>
        <w:ind w:left="270" w:hanging="27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It is prescribed to encourage public mindfulness through designated instructive projects, accentuating the protected stockpiling of meds, family synthetics, and harmful substances. Cooperative endeavors including medical services suppliers, schools, and local area pioneers can really scatter preventive measures and emergency treatment conventions.</w:t>
      </w:r>
    </w:p>
    <w:p w:rsidR="007B3716" w:rsidRPr="007B3716" w:rsidRDefault="007B3716" w:rsidP="007B3716">
      <w:pPr>
        <w:bidi w:val="0"/>
        <w:spacing w:after="160" w:line="360" w:lineRule="auto"/>
        <w:ind w:left="270" w:hanging="27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 xml:space="preserve">We suggest nonstop observation and information assortment in regards to the developing scene of poisonous specialists and harming designs, working with the brief recognizable proof of arising dangers. Reconciliation of cutting edge innovations, for example, continuous </w:t>
      </w:r>
      <w:proofErr w:type="spellStart"/>
      <w:r w:rsidRPr="007B3716">
        <w:rPr>
          <w:rFonts w:asciiTheme="majorBidi" w:hAnsiTheme="majorBidi" w:cstheme="majorBidi"/>
          <w:sz w:val="28"/>
          <w:szCs w:val="28"/>
        </w:rPr>
        <w:t>toxicovigilance</w:t>
      </w:r>
      <w:proofErr w:type="spellEnd"/>
      <w:r w:rsidRPr="007B3716">
        <w:rPr>
          <w:rFonts w:asciiTheme="majorBidi" w:hAnsiTheme="majorBidi" w:cstheme="majorBidi"/>
          <w:sz w:val="28"/>
          <w:szCs w:val="28"/>
        </w:rPr>
        <w:t xml:space="preserve"> frameworks could empower proactive reactions to moving harming patterns.</w:t>
      </w:r>
    </w:p>
    <w:p w:rsidR="007B3716" w:rsidRPr="007B3716" w:rsidRDefault="007B3716" w:rsidP="007B3716">
      <w:pPr>
        <w:bidi w:val="0"/>
        <w:spacing w:after="160" w:line="360" w:lineRule="auto"/>
        <w:ind w:left="270" w:hanging="27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Besides, it is prescribed to plan and carry out severe security guidelines on the bundling of drugs, synthetics, and family items. Youngster safe holders and clear marking of potential perils can act as essential obstructions, diminishing the openness of poisonous substances to kids.</w:t>
      </w:r>
    </w:p>
    <w:p w:rsidR="007B3716" w:rsidRPr="007B3716" w:rsidRDefault="007B3716" w:rsidP="007B3716">
      <w:pPr>
        <w:bidi w:val="0"/>
        <w:spacing w:after="160" w:line="360" w:lineRule="auto"/>
        <w:ind w:left="270" w:hanging="27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 xml:space="preserve">It is prescribed to lay out devoted poison control focuses or hotlines, giving available and specific direction to parental figures during harming occurrences. These focuses can offer telephonic help for guaranteed emergency treatment, </w:t>
      </w:r>
      <w:r w:rsidRPr="007B3716">
        <w:rPr>
          <w:rFonts w:asciiTheme="majorBidi" w:hAnsiTheme="majorBidi" w:cstheme="majorBidi"/>
          <w:sz w:val="28"/>
          <w:szCs w:val="28"/>
        </w:rPr>
        <w:lastRenderedPageBreak/>
        <w:t>cleaning methodology, and suitable clinical direction before looking for proficient consideration.</w:t>
      </w:r>
    </w:p>
    <w:p w:rsidR="007B3716" w:rsidRPr="007B3716" w:rsidRDefault="007B3716" w:rsidP="007B3716">
      <w:pPr>
        <w:bidi w:val="0"/>
        <w:spacing w:after="160" w:line="360" w:lineRule="auto"/>
        <w:ind w:left="270" w:hanging="27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We suggest encouraging interdisciplinary joint efforts between clinical toxicologists, pediatricians, crisis offices, and policymakers to devise extensive administration rules. The detailing of normalized conventions for evaluation, cleaning, cure organization, and follow-up care can advance treatment results.</w:t>
      </w:r>
    </w:p>
    <w:p w:rsidR="007B3716" w:rsidRPr="007B3716" w:rsidRDefault="007B3716" w:rsidP="007B3716">
      <w:pPr>
        <w:bidi w:val="0"/>
        <w:spacing w:after="160" w:line="360" w:lineRule="auto"/>
        <w:ind w:left="270" w:hanging="270"/>
        <w:jc w:val="both"/>
        <w:rPr>
          <w:rFonts w:asciiTheme="majorBidi" w:hAnsiTheme="majorBidi" w:cstheme="majorBidi"/>
          <w:sz w:val="28"/>
          <w:szCs w:val="28"/>
        </w:rPr>
      </w:pPr>
      <w:r w:rsidRPr="007B3716">
        <w:rPr>
          <w:rFonts w:asciiTheme="majorBidi" w:hAnsiTheme="majorBidi" w:cstheme="majorBidi"/>
          <w:sz w:val="28"/>
          <w:szCs w:val="28"/>
        </w:rPr>
        <w:t>•</w:t>
      </w:r>
      <w:r w:rsidRPr="007B3716">
        <w:rPr>
          <w:rFonts w:asciiTheme="majorBidi" w:hAnsiTheme="majorBidi" w:cstheme="majorBidi"/>
          <w:sz w:val="28"/>
          <w:szCs w:val="28"/>
        </w:rPr>
        <w:tab/>
        <w:t xml:space="preserve">Finally, investigating the plausibility of coordinating toxin avoidance and the </w:t>
      </w:r>
      <w:proofErr w:type="gramStart"/>
      <w:r w:rsidRPr="007B3716">
        <w:rPr>
          <w:rFonts w:asciiTheme="majorBidi" w:hAnsiTheme="majorBidi" w:cstheme="majorBidi"/>
          <w:sz w:val="28"/>
          <w:szCs w:val="28"/>
        </w:rPr>
        <w:t>executives</w:t>
      </w:r>
      <w:proofErr w:type="gramEnd"/>
      <w:r w:rsidRPr="007B3716">
        <w:rPr>
          <w:rFonts w:asciiTheme="majorBidi" w:hAnsiTheme="majorBidi" w:cstheme="majorBidi"/>
          <w:sz w:val="28"/>
          <w:szCs w:val="28"/>
        </w:rPr>
        <w:t xml:space="preserve"> instruction into school curricula is suggested. Granting information about expected perils and proper reactions can enable kids with life-saving abilities and make a culture of security mindfulness since early on.</w:t>
      </w:r>
    </w:p>
    <w:p w:rsidR="00AC2EAE" w:rsidRPr="007B3716" w:rsidRDefault="00AC2EAE" w:rsidP="007B3716">
      <w:pPr>
        <w:pStyle w:val="ListParagraph"/>
        <w:spacing w:after="160" w:line="360" w:lineRule="auto"/>
        <w:ind w:left="360"/>
        <w:jc w:val="both"/>
        <w:rPr>
          <w:rFonts w:asciiTheme="majorBidi" w:hAnsiTheme="majorBidi" w:cstheme="majorBidi"/>
          <w:sz w:val="28"/>
          <w:szCs w:val="28"/>
        </w:rPr>
        <w:sectPr w:rsidR="00AC2EAE" w:rsidRPr="007B3716" w:rsidSect="007461CB">
          <w:headerReference w:type="default" r:id="rId40"/>
          <w:pgSz w:w="12240" w:h="15840"/>
          <w:pgMar w:top="1440" w:right="1440" w:bottom="1440" w:left="1440" w:header="720" w:footer="720" w:gutter="0"/>
          <w:cols w:space="720"/>
          <w:docGrid w:linePitch="360"/>
        </w:sectPr>
      </w:pPr>
    </w:p>
    <w:p w:rsidR="00AC2EAE" w:rsidRDefault="00AC2EAE" w:rsidP="005B04A4">
      <w:pPr>
        <w:bidi w:val="0"/>
        <w:spacing w:line="360" w:lineRule="auto"/>
        <w:ind w:firstLine="720"/>
        <w:jc w:val="center"/>
        <w:rPr>
          <w:rFonts w:asciiTheme="majorBidi" w:hAnsiTheme="majorBidi" w:cstheme="majorBidi"/>
          <w:b/>
          <w:bCs/>
          <w:sz w:val="44"/>
          <w:szCs w:val="44"/>
        </w:rPr>
      </w:pPr>
      <w:r w:rsidRPr="00090EDC">
        <w:rPr>
          <w:rFonts w:asciiTheme="majorBidi" w:hAnsiTheme="majorBidi" w:cstheme="majorBidi"/>
          <w:b/>
          <w:bCs/>
          <w:sz w:val="44"/>
          <w:szCs w:val="44"/>
        </w:rPr>
        <w:lastRenderedPageBreak/>
        <w:t>Study Limitations</w:t>
      </w:r>
    </w:p>
    <w:p w:rsidR="007B3716" w:rsidRDefault="007B3716" w:rsidP="005B04A4">
      <w:pPr>
        <w:bidi w:val="0"/>
        <w:spacing w:line="360" w:lineRule="auto"/>
        <w:ind w:firstLine="720"/>
        <w:jc w:val="both"/>
        <w:rPr>
          <w:rFonts w:asciiTheme="majorBidi" w:hAnsiTheme="majorBidi" w:cstheme="majorBidi"/>
          <w:sz w:val="28"/>
          <w:szCs w:val="28"/>
        </w:rPr>
      </w:pPr>
      <w:r w:rsidRPr="007B3716">
        <w:rPr>
          <w:rFonts w:asciiTheme="majorBidi" w:hAnsiTheme="majorBidi" w:cstheme="majorBidi"/>
          <w:sz w:val="28"/>
          <w:szCs w:val="28"/>
        </w:rPr>
        <w:t xml:space="preserve">Notwithstanding its significant commitments, our review had a few constraints that warrant thought. Right off the bat, the review idea of the review configuration might have prompted fragmented or missing information in the clinical records, possibly influencing the precision and thoroughness of our discoveries. Besides, the review was directed at a solitary community, which might restrict the generalizability of the </w:t>
      </w:r>
      <w:bookmarkStart w:id="31" w:name="_GoBack"/>
      <w:bookmarkEnd w:id="31"/>
      <w:r w:rsidRPr="007B3716">
        <w:rPr>
          <w:rFonts w:asciiTheme="majorBidi" w:hAnsiTheme="majorBidi" w:cstheme="majorBidi"/>
          <w:sz w:val="28"/>
          <w:szCs w:val="28"/>
        </w:rPr>
        <w:t xml:space="preserve">outcomes to a more extensive populace. Moreover, the review zeroed in on a particular time period and geographic area, which could impact the commonness and sorts of harming cases. In addition, the dependence on existing clinical records obliged the factors accessible for examination, possibly neglecting other pertinent elements. At last, the concentrate transcendently used quantitative investigation, which could not completely catch the nuanced parts of pediatric harming </w:t>
      </w:r>
      <w:proofErr w:type="spellStart"/>
      <w:r w:rsidRPr="007B3716">
        <w:rPr>
          <w:rFonts w:asciiTheme="majorBidi" w:hAnsiTheme="majorBidi" w:cstheme="majorBidi"/>
          <w:sz w:val="28"/>
          <w:szCs w:val="28"/>
        </w:rPr>
        <w:t>cases.</w:t>
      </w:r>
      <w:proofErr w:type="spellEnd"/>
    </w:p>
    <w:p w:rsidR="00AC2EAE" w:rsidRDefault="00AC2EAE" w:rsidP="005B04A4">
      <w:pPr>
        <w:bidi w:val="0"/>
        <w:spacing w:line="360" w:lineRule="auto"/>
        <w:ind w:firstLine="720"/>
        <w:jc w:val="both"/>
        <w:rPr>
          <w:rFonts w:asciiTheme="majorBidi" w:hAnsiTheme="majorBidi" w:cstheme="majorBidi"/>
          <w:sz w:val="28"/>
          <w:szCs w:val="28"/>
        </w:rPr>
      </w:pPr>
    </w:p>
    <w:p w:rsidR="00AC2EAE" w:rsidRDefault="00AC2EAE" w:rsidP="005B04A4">
      <w:pPr>
        <w:bidi w:val="0"/>
        <w:spacing w:line="360" w:lineRule="auto"/>
        <w:ind w:firstLine="720"/>
        <w:jc w:val="both"/>
        <w:rPr>
          <w:rFonts w:asciiTheme="majorBidi" w:hAnsiTheme="majorBidi" w:cstheme="majorBidi"/>
          <w:sz w:val="28"/>
          <w:szCs w:val="28"/>
        </w:rPr>
      </w:pPr>
    </w:p>
    <w:p w:rsidR="00AC2EAE" w:rsidRPr="00AC2EAE" w:rsidRDefault="00AC2EAE" w:rsidP="005B04A4">
      <w:pPr>
        <w:bidi w:val="0"/>
        <w:spacing w:line="360" w:lineRule="auto"/>
        <w:ind w:firstLine="720"/>
        <w:jc w:val="both"/>
        <w:rPr>
          <w:rFonts w:asciiTheme="majorBidi" w:hAnsiTheme="majorBidi" w:cstheme="majorBidi"/>
          <w:sz w:val="28"/>
          <w:szCs w:val="28"/>
        </w:rPr>
      </w:pPr>
    </w:p>
    <w:p w:rsidR="00074956" w:rsidRPr="005B04A4" w:rsidRDefault="00074956" w:rsidP="005B04A4">
      <w:pPr>
        <w:bidi w:val="0"/>
        <w:spacing w:line="360" w:lineRule="auto"/>
        <w:ind w:firstLine="720"/>
        <w:jc w:val="both"/>
        <w:rPr>
          <w:rFonts w:asciiTheme="majorBidi" w:hAnsiTheme="majorBidi" w:cstheme="majorBidi"/>
          <w:sz w:val="28"/>
          <w:szCs w:val="28"/>
        </w:rPr>
      </w:pPr>
    </w:p>
    <w:p w:rsidR="001E4A46" w:rsidRDefault="001E4A46" w:rsidP="001E4A46">
      <w:pPr>
        <w:bidi w:val="0"/>
        <w:spacing w:before="240" w:line="360" w:lineRule="auto"/>
        <w:ind w:firstLine="720"/>
        <w:jc w:val="both"/>
        <w:rPr>
          <w:rFonts w:asciiTheme="majorBidi" w:hAnsiTheme="majorBidi" w:cstheme="majorBidi"/>
          <w:sz w:val="28"/>
          <w:szCs w:val="28"/>
        </w:rPr>
      </w:pPr>
    </w:p>
    <w:p w:rsidR="00074956" w:rsidRDefault="00074956" w:rsidP="00074956">
      <w:pPr>
        <w:bidi w:val="0"/>
        <w:spacing w:before="240" w:line="360" w:lineRule="auto"/>
        <w:ind w:firstLine="720"/>
        <w:jc w:val="both"/>
        <w:rPr>
          <w:rFonts w:asciiTheme="majorBidi" w:hAnsiTheme="majorBidi" w:cstheme="majorBidi"/>
          <w:sz w:val="28"/>
          <w:szCs w:val="28"/>
        </w:rPr>
      </w:pPr>
    </w:p>
    <w:p w:rsidR="00074956" w:rsidRDefault="00074956" w:rsidP="00074956">
      <w:pPr>
        <w:bidi w:val="0"/>
        <w:spacing w:before="240" w:line="360" w:lineRule="auto"/>
        <w:ind w:firstLine="720"/>
        <w:jc w:val="both"/>
        <w:rPr>
          <w:rFonts w:asciiTheme="majorBidi" w:hAnsiTheme="majorBidi" w:cstheme="majorBidi"/>
          <w:sz w:val="28"/>
          <w:szCs w:val="28"/>
        </w:rPr>
      </w:pPr>
    </w:p>
    <w:p w:rsidR="007461CB" w:rsidRDefault="007461CB" w:rsidP="00074956">
      <w:pPr>
        <w:bidi w:val="0"/>
        <w:spacing w:before="240" w:line="360" w:lineRule="auto"/>
        <w:ind w:firstLine="720"/>
        <w:jc w:val="both"/>
        <w:rPr>
          <w:rFonts w:asciiTheme="majorBidi" w:hAnsiTheme="majorBidi" w:cstheme="majorBidi"/>
          <w:sz w:val="28"/>
          <w:szCs w:val="28"/>
        </w:rPr>
        <w:sectPr w:rsidR="007461CB" w:rsidSect="007461CB">
          <w:headerReference w:type="default" r:id="rId41"/>
          <w:pgSz w:w="12240" w:h="15840"/>
          <w:pgMar w:top="1440" w:right="1440" w:bottom="1440" w:left="1440" w:header="720" w:footer="720" w:gutter="0"/>
          <w:cols w:space="720"/>
          <w:docGrid w:linePitch="360"/>
        </w:sectPr>
      </w:pPr>
    </w:p>
    <w:p w:rsidR="00074956" w:rsidRDefault="00074956" w:rsidP="007461CB">
      <w:pPr>
        <w:bidi w:val="0"/>
        <w:spacing w:line="360" w:lineRule="auto"/>
        <w:jc w:val="center"/>
        <w:rPr>
          <w:rFonts w:asciiTheme="majorBidi" w:hAnsiTheme="majorBidi" w:cstheme="majorBidi"/>
          <w:b/>
          <w:bCs/>
          <w:sz w:val="44"/>
          <w:szCs w:val="44"/>
        </w:rPr>
      </w:pPr>
      <w:r w:rsidRPr="00074956">
        <w:rPr>
          <w:rFonts w:asciiTheme="majorBidi" w:hAnsiTheme="majorBidi" w:cstheme="majorBidi"/>
          <w:b/>
          <w:bCs/>
          <w:sz w:val="44"/>
          <w:szCs w:val="44"/>
        </w:rPr>
        <w:lastRenderedPageBreak/>
        <w:t>References</w:t>
      </w:r>
    </w:p>
    <w:p w:rsidR="00AF4003" w:rsidRDefault="00AF4003" w:rsidP="00AF4003">
      <w:pPr>
        <w:bidi w:val="0"/>
        <w:spacing w:line="360" w:lineRule="auto"/>
        <w:jc w:val="center"/>
        <w:rPr>
          <w:rFonts w:asciiTheme="majorBidi" w:hAnsiTheme="majorBidi" w:cstheme="majorBidi"/>
          <w:b/>
          <w:bCs/>
          <w:sz w:val="44"/>
          <w:szCs w:val="44"/>
        </w:rPr>
      </w:pP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2020 Annual Report of the American Association of Poison Control Centers’ National Poison Data System (NPDS): 38th Annual Report, Clinical Toxicology, 59:12, 1282-1501, DOI: 10.1080/15563650.2021.1989785 NPDS Interactive Dashboard, </w:t>
      </w:r>
      <w:hyperlink r:id="rId42" w:history="1">
        <w:r w:rsidRPr="00101F43">
          <w:rPr>
            <w:color w:val="221F1F"/>
          </w:rPr>
          <w:t>www.aapcc.org/national-poison-data-system</w:t>
        </w:r>
      </w:hyperlink>
    </w:p>
    <w:p w:rsidR="00AF4003" w:rsidRDefault="00AF4003" w:rsidP="00AF4003">
      <w:pPr>
        <w:pStyle w:val="BodyText"/>
        <w:numPr>
          <w:ilvl w:val="0"/>
          <w:numId w:val="39"/>
        </w:numPr>
        <w:spacing w:before="87" w:line="340" w:lineRule="auto"/>
        <w:ind w:left="360"/>
        <w:jc w:val="both"/>
        <w:rPr>
          <w:bCs/>
          <w:color w:val="221F1F"/>
        </w:rPr>
      </w:pPr>
      <w:proofErr w:type="spellStart"/>
      <w:r w:rsidRPr="00AF4003">
        <w:rPr>
          <w:bCs/>
          <w:color w:val="221F1F"/>
        </w:rPr>
        <w:t>Abd</w:t>
      </w:r>
      <w:proofErr w:type="spellEnd"/>
      <w:r w:rsidRPr="00AF4003">
        <w:rPr>
          <w:bCs/>
          <w:color w:val="221F1F"/>
        </w:rPr>
        <w:t xml:space="preserve"> </w:t>
      </w:r>
      <w:proofErr w:type="spellStart"/>
      <w:r w:rsidRPr="00AF4003">
        <w:rPr>
          <w:bCs/>
          <w:color w:val="221F1F"/>
        </w:rPr>
        <w:t>ElKader</w:t>
      </w:r>
      <w:proofErr w:type="spellEnd"/>
      <w:r w:rsidRPr="00AF4003">
        <w:rPr>
          <w:bCs/>
          <w:color w:val="221F1F"/>
        </w:rPr>
        <w:t xml:space="preserve">, M., The pattern and outcome of poisoning among children admitted to </w:t>
      </w:r>
      <w:proofErr w:type="spellStart"/>
      <w:r w:rsidRPr="00AF4003">
        <w:rPr>
          <w:bCs/>
          <w:color w:val="221F1F"/>
        </w:rPr>
        <w:t>Sohag</w:t>
      </w:r>
      <w:proofErr w:type="spellEnd"/>
      <w:r w:rsidRPr="00AF4003">
        <w:rPr>
          <w:bCs/>
          <w:color w:val="221F1F"/>
        </w:rPr>
        <w:t xml:space="preserve"> University Hospitals. </w:t>
      </w:r>
      <w:proofErr w:type="spellStart"/>
      <w:r w:rsidRPr="00AF4003">
        <w:rPr>
          <w:bCs/>
          <w:color w:val="221F1F"/>
        </w:rPr>
        <w:t>Sohag</w:t>
      </w:r>
      <w:proofErr w:type="spellEnd"/>
      <w:r w:rsidRPr="00AF4003">
        <w:rPr>
          <w:bCs/>
          <w:color w:val="221F1F"/>
        </w:rPr>
        <w:t xml:space="preserve"> Medical Journal, 2022. 26(2): p. 1-11.</w:t>
      </w:r>
    </w:p>
    <w:p w:rsidR="00AF4003" w:rsidRDefault="00AF4003" w:rsidP="00AF4003">
      <w:pPr>
        <w:pStyle w:val="BodyText"/>
        <w:numPr>
          <w:ilvl w:val="0"/>
          <w:numId w:val="39"/>
        </w:numPr>
        <w:spacing w:before="87" w:line="340" w:lineRule="auto"/>
        <w:ind w:left="360"/>
        <w:jc w:val="both"/>
        <w:rPr>
          <w:bCs/>
          <w:color w:val="221F1F"/>
        </w:rPr>
      </w:pPr>
      <w:r w:rsidRPr="00AF4003">
        <w:rPr>
          <w:bCs/>
          <w:color w:val="221F1F"/>
        </w:rPr>
        <w:t xml:space="preserve">Ahmed, A., et al., Poisoning emergency visits among children: a 3-year retrospective study in Qatar. BMC </w:t>
      </w:r>
      <w:proofErr w:type="spellStart"/>
      <w:r w:rsidRPr="00AF4003">
        <w:rPr>
          <w:bCs/>
          <w:color w:val="221F1F"/>
        </w:rPr>
        <w:t>Pediatr</w:t>
      </w:r>
      <w:proofErr w:type="spellEnd"/>
      <w:r w:rsidRPr="00AF4003">
        <w:rPr>
          <w:bCs/>
          <w:color w:val="221F1F"/>
        </w:rPr>
        <w:t>, 2015. 15: p. 104.</w:t>
      </w:r>
      <w:r w:rsidRPr="00AF4003">
        <w:rPr>
          <w:bCs/>
          <w:color w:val="221F1F"/>
        </w:rPr>
        <w:cr/>
      </w:r>
      <w:proofErr w:type="spellStart"/>
      <w:r w:rsidRPr="00AF4003">
        <w:rPr>
          <w:bCs/>
          <w:color w:val="221F1F"/>
        </w:rPr>
        <w:t>Schmertmann</w:t>
      </w:r>
      <w:proofErr w:type="spellEnd"/>
      <w:r w:rsidRPr="00AF4003">
        <w:rPr>
          <w:bCs/>
          <w:color w:val="221F1F"/>
        </w:rPr>
        <w:t>, M., A. Williamson, and D. Black, Unintentional poisoning in young children: does developmental stage predict the type of substance accessed and ingested? Child: care, health and development, 2014. 40(1): p. 50-59.</w:t>
      </w:r>
    </w:p>
    <w:p w:rsidR="00AF4003" w:rsidRPr="00542DD0" w:rsidRDefault="00AF4003" w:rsidP="00AF4003">
      <w:pPr>
        <w:pStyle w:val="BodyText"/>
        <w:numPr>
          <w:ilvl w:val="0"/>
          <w:numId w:val="39"/>
        </w:numPr>
        <w:spacing w:before="87" w:line="340" w:lineRule="auto"/>
        <w:ind w:left="360"/>
        <w:jc w:val="both"/>
        <w:rPr>
          <w:bCs/>
          <w:color w:val="221F1F"/>
        </w:rPr>
      </w:pPr>
      <w:r w:rsidRPr="00542DD0">
        <w:rPr>
          <w:bCs/>
          <w:color w:val="221F1F"/>
        </w:rPr>
        <w:t xml:space="preserve">Albertson TE, Owen KP, Sutter ME, Chan AL. Gastrointestinal decontamination in the acutely poisoned patient. </w:t>
      </w:r>
      <w:proofErr w:type="spellStart"/>
      <w:r w:rsidRPr="00542DD0">
        <w:rPr>
          <w:bCs/>
          <w:color w:val="221F1F"/>
        </w:rPr>
        <w:t>Int</w:t>
      </w:r>
      <w:proofErr w:type="spellEnd"/>
      <w:r w:rsidRPr="00542DD0">
        <w:rPr>
          <w:bCs/>
          <w:color w:val="221F1F"/>
        </w:rPr>
        <w:t xml:space="preserve"> J </w:t>
      </w:r>
      <w:proofErr w:type="spellStart"/>
      <w:r w:rsidRPr="00542DD0">
        <w:rPr>
          <w:bCs/>
          <w:color w:val="221F1F"/>
        </w:rPr>
        <w:t>Emerg</w:t>
      </w:r>
      <w:proofErr w:type="spellEnd"/>
      <w:r w:rsidRPr="00542DD0">
        <w:rPr>
          <w:bCs/>
          <w:color w:val="221F1F"/>
        </w:rPr>
        <w:t xml:space="preserve"> Med. 2011</w:t>
      </w:r>
      <w:proofErr w:type="gramStart"/>
      <w:r w:rsidRPr="00542DD0">
        <w:rPr>
          <w:bCs/>
          <w:color w:val="221F1F"/>
        </w:rPr>
        <w:t>;4:65</w:t>
      </w:r>
      <w:proofErr w:type="gramEnd"/>
      <w:r w:rsidRPr="00542DD0">
        <w:rPr>
          <w:bCs/>
          <w:color w:val="221F1F"/>
        </w:rPr>
        <w:t>. Published 2011 Oct 12. doi:10.1186/1865-1380-4-65</w:t>
      </w:r>
    </w:p>
    <w:p w:rsidR="00AF4003" w:rsidRPr="00542DD0" w:rsidRDefault="00AF4003" w:rsidP="00AF4003">
      <w:pPr>
        <w:pStyle w:val="BodyText"/>
        <w:numPr>
          <w:ilvl w:val="0"/>
          <w:numId w:val="39"/>
        </w:numPr>
        <w:spacing w:before="87" w:line="340" w:lineRule="auto"/>
        <w:ind w:left="360"/>
        <w:jc w:val="both"/>
        <w:rPr>
          <w:bCs/>
          <w:color w:val="221F1F"/>
        </w:rPr>
      </w:pPr>
      <w:proofErr w:type="spellStart"/>
      <w:r w:rsidRPr="00542DD0">
        <w:rPr>
          <w:bCs/>
          <w:color w:val="221F1F"/>
        </w:rPr>
        <w:t>Allegaert</w:t>
      </w:r>
      <w:proofErr w:type="spellEnd"/>
      <w:r w:rsidRPr="00542DD0">
        <w:rPr>
          <w:bCs/>
          <w:color w:val="221F1F"/>
        </w:rPr>
        <w:t xml:space="preserve"> K, van de </w:t>
      </w:r>
      <w:proofErr w:type="spellStart"/>
      <w:r w:rsidRPr="00542DD0">
        <w:rPr>
          <w:bCs/>
          <w:color w:val="221F1F"/>
        </w:rPr>
        <w:t>Velde</w:t>
      </w:r>
      <w:proofErr w:type="spellEnd"/>
      <w:r w:rsidRPr="00542DD0">
        <w:rPr>
          <w:bCs/>
          <w:color w:val="221F1F"/>
        </w:rPr>
        <w:t xml:space="preserve"> M, van den Anker J. Neonatal clinical pharmacology. </w:t>
      </w:r>
      <w:proofErr w:type="spellStart"/>
      <w:r w:rsidRPr="00542DD0">
        <w:rPr>
          <w:bCs/>
          <w:color w:val="221F1F"/>
        </w:rPr>
        <w:t>Paediatr</w:t>
      </w:r>
      <w:proofErr w:type="spellEnd"/>
      <w:r w:rsidRPr="00542DD0">
        <w:rPr>
          <w:bCs/>
          <w:color w:val="221F1F"/>
        </w:rPr>
        <w:t xml:space="preserve"> </w:t>
      </w:r>
      <w:proofErr w:type="spellStart"/>
      <w:r w:rsidRPr="00542DD0">
        <w:rPr>
          <w:bCs/>
          <w:color w:val="221F1F"/>
        </w:rPr>
        <w:t>Anaesth</w:t>
      </w:r>
      <w:proofErr w:type="spellEnd"/>
      <w:r w:rsidRPr="00542DD0">
        <w:rPr>
          <w:bCs/>
          <w:color w:val="221F1F"/>
        </w:rPr>
        <w:t xml:space="preserve"> 2014</w:t>
      </w:r>
      <w:proofErr w:type="gramStart"/>
      <w:r w:rsidRPr="00542DD0">
        <w:rPr>
          <w:bCs/>
          <w:color w:val="221F1F"/>
        </w:rPr>
        <w:t>;24:30</w:t>
      </w:r>
      <w:proofErr w:type="gramEnd"/>
      <w:r w:rsidRPr="00542DD0">
        <w:rPr>
          <w:bCs/>
          <w:color w:val="221F1F"/>
        </w:rPr>
        <w:t>-8.</w:t>
      </w:r>
    </w:p>
    <w:p w:rsidR="00AF4003" w:rsidRDefault="00AF4003" w:rsidP="00AF4003">
      <w:pPr>
        <w:pStyle w:val="BodyText"/>
        <w:numPr>
          <w:ilvl w:val="0"/>
          <w:numId w:val="39"/>
        </w:numPr>
        <w:spacing w:before="87" w:line="340" w:lineRule="auto"/>
        <w:ind w:left="360"/>
        <w:jc w:val="both"/>
        <w:rPr>
          <w:bCs/>
          <w:color w:val="221F1F"/>
        </w:rPr>
      </w:pPr>
      <w:r w:rsidRPr="00932525">
        <w:rPr>
          <w:bCs/>
          <w:color w:val="221F1F"/>
        </w:rPr>
        <w:t xml:space="preserve">Anderson KD, Rouse TM, Randolph JG. A controlled trial of corticosteroids in children with corrosive injury of the esophagus. N </w:t>
      </w:r>
      <w:proofErr w:type="spellStart"/>
      <w:r w:rsidRPr="00932525">
        <w:rPr>
          <w:bCs/>
          <w:color w:val="221F1F"/>
        </w:rPr>
        <w:t>Engl</w:t>
      </w:r>
      <w:proofErr w:type="spellEnd"/>
      <w:r w:rsidRPr="00932525">
        <w:rPr>
          <w:bCs/>
          <w:color w:val="221F1F"/>
        </w:rPr>
        <w:t xml:space="preserve"> J Med1990</w:t>
      </w:r>
      <w:proofErr w:type="gramStart"/>
      <w:r w:rsidRPr="00932525">
        <w:rPr>
          <w:bCs/>
          <w:color w:val="221F1F"/>
        </w:rPr>
        <w:t>;323:637</w:t>
      </w:r>
      <w:proofErr w:type="gramEnd"/>
      <w:r w:rsidRPr="00932525">
        <w:rPr>
          <w:bCs/>
          <w:color w:val="221F1F"/>
        </w:rPr>
        <w:t>–40.</w:t>
      </w:r>
    </w:p>
    <w:p w:rsidR="00AF4003" w:rsidRPr="00542DD0" w:rsidRDefault="00AF4003" w:rsidP="00AF4003">
      <w:pPr>
        <w:pStyle w:val="BodyText"/>
        <w:numPr>
          <w:ilvl w:val="0"/>
          <w:numId w:val="39"/>
        </w:numPr>
        <w:spacing w:before="87" w:line="340" w:lineRule="auto"/>
        <w:ind w:left="360"/>
        <w:jc w:val="both"/>
        <w:rPr>
          <w:bCs/>
          <w:color w:val="221F1F"/>
        </w:rPr>
      </w:pPr>
      <w:r w:rsidRPr="00542DD0">
        <w:rPr>
          <w:bCs/>
          <w:color w:val="221F1F"/>
        </w:rPr>
        <w:t xml:space="preserve">Atkins DL, Berger S, Duff JP, Gonzales JC, Hunt EA, Joyner BL, </w:t>
      </w:r>
      <w:proofErr w:type="spellStart"/>
      <w:r w:rsidRPr="00542DD0">
        <w:rPr>
          <w:bCs/>
          <w:color w:val="221F1F"/>
        </w:rPr>
        <w:t>Meaney</w:t>
      </w:r>
      <w:proofErr w:type="spellEnd"/>
      <w:r w:rsidRPr="00542DD0">
        <w:rPr>
          <w:bCs/>
          <w:color w:val="221F1F"/>
        </w:rPr>
        <w:t xml:space="preserve"> PA, Niles DE, Samson RA, </w:t>
      </w:r>
      <w:proofErr w:type="spellStart"/>
      <w:r w:rsidRPr="00542DD0">
        <w:rPr>
          <w:bCs/>
          <w:color w:val="221F1F"/>
        </w:rPr>
        <w:t>Schexnayder</w:t>
      </w:r>
      <w:proofErr w:type="spellEnd"/>
      <w:r w:rsidRPr="00542DD0">
        <w:rPr>
          <w:bCs/>
          <w:color w:val="221F1F"/>
        </w:rPr>
        <w:t xml:space="preserve"> SM. Part 11: pediatric basic life support </w:t>
      </w:r>
      <w:r w:rsidRPr="00542DD0">
        <w:rPr>
          <w:bCs/>
          <w:color w:val="221F1F"/>
        </w:rPr>
        <w:lastRenderedPageBreak/>
        <w:t>and cardiopulmonary resuscitation quality: 2015 American Heart Association Guidelines Update for Cardiopulmonary Resuscitation and Emergency Cardiovascular Care. Circulation. 2015;132(</w:t>
      </w:r>
      <w:proofErr w:type="spellStart"/>
      <w:r w:rsidRPr="00542DD0">
        <w:rPr>
          <w:bCs/>
          <w:color w:val="221F1F"/>
        </w:rPr>
        <w:t>suppl</w:t>
      </w:r>
      <w:proofErr w:type="spellEnd"/>
      <w:r w:rsidRPr="00542DD0">
        <w:rPr>
          <w:bCs/>
          <w:color w:val="221F1F"/>
        </w:rPr>
        <w:t xml:space="preserve"> 2):S519–S525</w:t>
      </w:r>
    </w:p>
    <w:p w:rsidR="00AF4003" w:rsidRDefault="00AF4003" w:rsidP="00AF4003">
      <w:pPr>
        <w:pStyle w:val="BodyText"/>
        <w:numPr>
          <w:ilvl w:val="0"/>
          <w:numId w:val="39"/>
        </w:numPr>
        <w:spacing w:before="87" w:line="340" w:lineRule="auto"/>
        <w:ind w:left="360"/>
        <w:jc w:val="both"/>
        <w:rPr>
          <w:bCs/>
          <w:color w:val="221F1F"/>
        </w:rPr>
      </w:pPr>
      <w:proofErr w:type="spellStart"/>
      <w:r w:rsidRPr="00AF4003">
        <w:rPr>
          <w:bCs/>
          <w:color w:val="221F1F"/>
        </w:rPr>
        <w:t>Azab</w:t>
      </w:r>
      <w:proofErr w:type="spellEnd"/>
      <w:r w:rsidRPr="00AF4003">
        <w:rPr>
          <w:bCs/>
          <w:color w:val="221F1F"/>
        </w:rPr>
        <w:t xml:space="preserve">, S.M., et al., Epidemiology of acute poisoning in children presenting to the poisoning treatment center at </w:t>
      </w:r>
      <w:proofErr w:type="spellStart"/>
      <w:r w:rsidRPr="00AF4003">
        <w:rPr>
          <w:bCs/>
          <w:color w:val="221F1F"/>
        </w:rPr>
        <w:t>Ain</w:t>
      </w:r>
      <w:proofErr w:type="spellEnd"/>
      <w:r w:rsidRPr="00AF4003">
        <w:rPr>
          <w:bCs/>
          <w:color w:val="221F1F"/>
        </w:rPr>
        <w:t xml:space="preserve"> Shams University in Cairo, Egypt, 2009-2013. </w:t>
      </w:r>
      <w:proofErr w:type="spellStart"/>
      <w:r w:rsidRPr="00AF4003">
        <w:rPr>
          <w:bCs/>
          <w:color w:val="221F1F"/>
        </w:rPr>
        <w:t>Clin</w:t>
      </w:r>
      <w:proofErr w:type="spellEnd"/>
      <w:r w:rsidRPr="00AF4003">
        <w:rPr>
          <w:bCs/>
          <w:color w:val="221F1F"/>
        </w:rPr>
        <w:t xml:space="preserve"> </w:t>
      </w:r>
      <w:proofErr w:type="spellStart"/>
      <w:r w:rsidRPr="00AF4003">
        <w:rPr>
          <w:bCs/>
          <w:color w:val="221F1F"/>
        </w:rPr>
        <w:t>Toxicol</w:t>
      </w:r>
      <w:proofErr w:type="spellEnd"/>
      <w:r w:rsidRPr="00AF4003">
        <w:rPr>
          <w:bCs/>
          <w:color w:val="221F1F"/>
        </w:rPr>
        <w:t xml:space="preserve"> (</w:t>
      </w:r>
      <w:proofErr w:type="spellStart"/>
      <w:r w:rsidRPr="00AF4003">
        <w:rPr>
          <w:bCs/>
          <w:color w:val="221F1F"/>
        </w:rPr>
        <w:t>Phila</w:t>
      </w:r>
      <w:proofErr w:type="spellEnd"/>
      <w:r w:rsidRPr="00AF4003">
        <w:rPr>
          <w:bCs/>
          <w:color w:val="221F1F"/>
        </w:rPr>
        <w:t>), 2016. 54(1): p. 20-6.</w:t>
      </w:r>
    </w:p>
    <w:p w:rsidR="00AF4003" w:rsidRDefault="00AF4003" w:rsidP="00AF4003">
      <w:pPr>
        <w:pStyle w:val="BodyText"/>
        <w:numPr>
          <w:ilvl w:val="0"/>
          <w:numId w:val="39"/>
        </w:numPr>
        <w:spacing w:before="87" w:line="340" w:lineRule="auto"/>
        <w:ind w:left="360"/>
        <w:jc w:val="both"/>
        <w:rPr>
          <w:bCs/>
          <w:color w:val="221F1F"/>
        </w:rPr>
      </w:pPr>
      <w:proofErr w:type="spellStart"/>
      <w:r w:rsidRPr="00AF4003">
        <w:rPr>
          <w:bCs/>
          <w:color w:val="221F1F"/>
        </w:rPr>
        <w:t>Azimi</w:t>
      </w:r>
      <w:proofErr w:type="spellEnd"/>
      <w:r w:rsidRPr="00AF4003">
        <w:rPr>
          <w:bCs/>
          <w:color w:val="221F1F"/>
        </w:rPr>
        <w:t>, A., et al., Epidemiological and clinical features of pediatric open globe injuries: a report from southern Iran. Journal of Ophthalmic &amp; Vision Research, 2023. 18(1): p. 88.</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Azizi</w:t>
      </w:r>
      <w:proofErr w:type="spellEnd"/>
      <w:r w:rsidRPr="00101F43">
        <w:rPr>
          <w:bCs/>
          <w:color w:val="221F1F"/>
        </w:rPr>
        <w:t xml:space="preserve"> BH, </w:t>
      </w:r>
      <w:proofErr w:type="spellStart"/>
      <w:r w:rsidRPr="00101F43">
        <w:rPr>
          <w:bCs/>
          <w:color w:val="221F1F"/>
        </w:rPr>
        <w:t>Zulkifli</w:t>
      </w:r>
      <w:proofErr w:type="spellEnd"/>
      <w:r w:rsidRPr="00101F43">
        <w:rPr>
          <w:bCs/>
          <w:color w:val="221F1F"/>
        </w:rPr>
        <w:t xml:space="preserve"> HI, </w:t>
      </w:r>
      <w:proofErr w:type="spellStart"/>
      <w:r w:rsidRPr="00101F43">
        <w:rPr>
          <w:bCs/>
          <w:color w:val="221F1F"/>
        </w:rPr>
        <w:t>Kasim</w:t>
      </w:r>
      <w:proofErr w:type="spellEnd"/>
      <w:r w:rsidRPr="00101F43">
        <w:rPr>
          <w:bCs/>
          <w:color w:val="221F1F"/>
        </w:rPr>
        <w:t xml:space="preserve"> MS. Risk factors for accidental poisoning in urban Malaysian children. Annals of Tropical </w:t>
      </w:r>
      <w:proofErr w:type="spellStart"/>
      <w:r w:rsidRPr="00101F43">
        <w:rPr>
          <w:bCs/>
          <w:color w:val="221F1F"/>
        </w:rPr>
        <w:t>Paediatrics</w:t>
      </w:r>
      <w:proofErr w:type="spellEnd"/>
      <w:r w:rsidRPr="00101F43">
        <w:rPr>
          <w:bCs/>
          <w:color w:val="221F1F"/>
        </w:rPr>
        <w:t>. 1993</w:t>
      </w:r>
      <w:proofErr w:type="gramStart"/>
      <w:r w:rsidRPr="00101F43">
        <w:rPr>
          <w:bCs/>
          <w:color w:val="221F1F"/>
        </w:rPr>
        <w:t>;13:183</w:t>
      </w:r>
      <w:proofErr w:type="gramEnd"/>
      <w:r w:rsidRPr="00101F43">
        <w:rPr>
          <w:bCs/>
          <w:color w:val="221F1F"/>
        </w:rPr>
        <w:t>–188.</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Bacha</w:t>
      </w:r>
      <w:proofErr w:type="spellEnd"/>
      <w:r w:rsidRPr="00101F43">
        <w:rPr>
          <w:bCs/>
          <w:color w:val="221F1F"/>
        </w:rPr>
        <w:t xml:space="preserve"> T, </w:t>
      </w:r>
      <w:proofErr w:type="spellStart"/>
      <w:r w:rsidRPr="00101F43">
        <w:rPr>
          <w:bCs/>
          <w:color w:val="221F1F"/>
        </w:rPr>
        <w:t>Tilahun</w:t>
      </w:r>
      <w:proofErr w:type="spellEnd"/>
      <w:r w:rsidRPr="00101F43">
        <w:rPr>
          <w:bCs/>
          <w:color w:val="221F1F"/>
        </w:rPr>
        <w:t xml:space="preserve"> B. A cross-sectional study of children with acute poisoning: a three-year retrospective analysis. World J </w:t>
      </w:r>
      <w:proofErr w:type="spellStart"/>
      <w:r w:rsidRPr="00101F43">
        <w:rPr>
          <w:bCs/>
          <w:color w:val="221F1F"/>
        </w:rPr>
        <w:t>Emerg</w:t>
      </w:r>
      <w:proofErr w:type="spellEnd"/>
      <w:r w:rsidRPr="00101F43">
        <w:rPr>
          <w:bCs/>
          <w:color w:val="221F1F"/>
        </w:rPr>
        <w:t xml:space="preserve"> Med. 2015; 6: 265-269</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Bassett RA, </w:t>
      </w:r>
      <w:proofErr w:type="spellStart"/>
      <w:r w:rsidRPr="00101F43">
        <w:rPr>
          <w:bCs/>
          <w:color w:val="221F1F"/>
        </w:rPr>
        <w:t>Osterhoudt</w:t>
      </w:r>
      <w:proofErr w:type="spellEnd"/>
      <w:r w:rsidRPr="00101F43">
        <w:rPr>
          <w:bCs/>
          <w:color w:val="221F1F"/>
        </w:rPr>
        <w:t xml:space="preserve"> K, </w:t>
      </w:r>
      <w:proofErr w:type="spellStart"/>
      <w:r w:rsidRPr="00101F43">
        <w:rPr>
          <w:bCs/>
          <w:color w:val="221F1F"/>
        </w:rPr>
        <w:t>Brabazon</w:t>
      </w:r>
      <w:proofErr w:type="spellEnd"/>
      <w:r w:rsidRPr="00101F43">
        <w:rPr>
          <w:bCs/>
          <w:color w:val="221F1F"/>
        </w:rPr>
        <w:t xml:space="preserve"> T. Nicotine poisoning in an infant. N </w:t>
      </w:r>
      <w:proofErr w:type="spellStart"/>
      <w:r w:rsidRPr="00101F43">
        <w:rPr>
          <w:bCs/>
          <w:color w:val="221F1F"/>
        </w:rPr>
        <w:t>Engl</w:t>
      </w:r>
      <w:proofErr w:type="spellEnd"/>
      <w:r w:rsidRPr="00101F43">
        <w:rPr>
          <w:bCs/>
          <w:color w:val="221F1F"/>
        </w:rPr>
        <w:t xml:space="preserve"> J Med 2014; 370:2249.</w:t>
      </w:r>
    </w:p>
    <w:p w:rsidR="00AF400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Baumgartner K, </w:t>
      </w:r>
      <w:proofErr w:type="spellStart"/>
      <w:r w:rsidRPr="00101F43">
        <w:rPr>
          <w:bCs/>
          <w:color w:val="221F1F"/>
        </w:rPr>
        <w:t>Doering</w:t>
      </w:r>
      <w:proofErr w:type="spellEnd"/>
      <w:r w:rsidRPr="00101F43">
        <w:rPr>
          <w:bCs/>
          <w:color w:val="221F1F"/>
        </w:rPr>
        <w:t xml:space="preserve"> M, Schwarz E. </w:t>
      </w:r>
      <w:proofErr w:type="spellStart"/>
      <w:r w:rsidRPr="00101F43">
        <w:rPr>
          <w:bCs/>
          <w:color w:val="221F1F"/>
        </w:rPr>
        <w:t>Vilazodone</w:t>
      </w:r>
      <w:proofErr w:type="spellEnd"/>
      <w:r w:rsidRPr="00101F43">
        <w:rPr>
          <w:bCs/>
          <w:color w:val="221F1F"/>
        </w:rPr>
        <w:t xml:space="preserve"> poisoning: A systematic review. </w:t>
      </w:r>
      <w:proofErr w:type="spellStart"/>
      <w:r w:rsidRPr="00101F43">
        <w:rPr>
          <w:bCs/>
          <w:color w:val="221F1F"/>
        </w:rPr>
        <w:t>Clin</w:t>
      </w:r>
      <w:proofErr w:type="spellEnd"/>
      <w:r w:rsidRPr="00101F43">
        <w:rPr>
          <w:bCs/>
          <w:color w:val="221F1F"/>
        </w:rPr>
        <w:t xml:space="preserve"> </w:t>
      </w:r>
      <w:proofErr w:type="spellStart"/>
      <w:r w:rsidRPr="00101F43">
        <w:rPr>
          <w:bCs/>
          <w:color w:val="221F1F"/>
        </w:rPr>
        <w:t>Toxicol</w:t>
      </w:r>
      <w:proofErr w:type="spellEnd"/>
      <w:r w:rsidRPr="00101F43">
        <w:rPr>
          <w:bCs/>
          <w:color w:val="221F1F"/>
        </w:rPr>
        <w:t xml:space="preserve"> (</w:t>
      </w:r>
      <w:proofErr w:type="spellStart"/>
      <w:r w:rsidRPr="00101F43">
        <w:rPr>
          <w:bCs/>
          <w:color w:val="221F1F"/>
        </w:rPr>
        <w:t>Phila</w:t>
      </w:r>
      <w:proofErr w:type="spellEnd"/>
      <w:r w:rsidRPr="00101F43">
        <w:rPr>
          <w:bCs/>
          <w:color w:val="221F1F"/>
        </w:rPr>
        <w:t>) 2020; 58:360.</w:t>
      </w:r>
    </w:p>
    <w:p w:rsidR="00AF4003" w:rsidRDefault="00AF4003" w:rsidP="00AF4003">
      <w:pPr>
        <w:pStyle w:val="BodyText"/>
        <w:numPr>
          <w:ilvl w:val="0"/>
          <w:numId w:val="39"/>
        </w:numPr>
        <w:spacing w:before="87" w:line="340" w:lineRule="auto"/>
        <w:ind w:left="360"/>
        <w:jc w:val="both"/>
        <w:rPr>
          <w:bCs/>
          <w:color w:val="221F1F"/>
        </w:rPr>
      </w:pPr>
      <w:r w:rsidRPr="0029728B">
        <w:rPr>
          <w:bCs/>
          <w:color w:val="221F1F"/>
        </w:rPr>
        <w:t xml:space="preserve">Bois FY, </w:t>
      </w:r>
      <w:proofErr w:type="spellStart"/>
      <w:r w:rsidRPr="0029728B">
        <w:rPr>
          <w:bCs/>
          <w:color w:val="221F1F"/>
        </w:rPr>
        <w:t>Brochot</w:t>
      </w:r>
      <w:proofErr w:type="spellEnd"/>
      <w:r w:rsidRPr="0029728B">
        <w:rPr>
          <w:bCs/>
          <w:color w:val="221F1F"/>
        </w:rPr>
        <w:t xml:space="preserve"> C. Modeling Pharmacokinetics. Methods </w:t>
      </w:r>
      <w:proofErr w:type="spellStart"/>
      <w:r w:rsidRPr="0029728B">
        <w:rPr>
          <w:bCs/>
          <w:color w:val="221F1F"/>
        </w:rPr>
        <w:t>Mol</w:t>
      </w:r>
      <w:proofErr w:type="spellEnd"/>
      <w:r w:rsidRPr="0029728B">
        <w:rPr>
          <w:bCs/>
          <w:color w:val="221F1F"/>
        </w:rPr>
        <w:t xml:space="preserve"> Biol. 2016</w:t>
      </w:r>
      <w:proofErr w:type="gramStart"/>
      <w:r w:rsidRPr="0029728B">
        <w:rPr>
          <w:bCs/>
          <w:color w:val="221F1F"/>
        </w:rPr>
        <w:t>;1425:37</w:t>
      </w:r>
      <w:proofErr w:type="gramEnd"/>
      <w:r w:rsidRPr="0029728B">
        <w:rPr>
          <w:bCs/>
          <w:color w:val="221F1F"/>
        </w:rPr>
        <w:t>-62.</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Bond GR, Woodward RW, Ho M. The growing impact of pediatric pharmaceutical poisoning. J </w:t>
      </w:r>
      <w:proofErr w:type="spellStart"/>
      <w:r w:rsidRPr="00101F43">
        <w:rPr>
          <w:bCs/>
          <w:color w:val="221F1F"/>
        </w:rPr>
        <w:t>Pediatr</w:t>
      </w:r>
      <w:proofErr w:type="spellEnd"/>
      <w:r w:rsidRPr="00101F43">
        <w:rPr>
          <w:bCs/>
          <w:color w:val="221F1F"/>
        </w:rPr>
        <w:t xml:space="preserve"> 2012; 160:265.</w:t>
      </w:r>
    </w:p>
    <w:p w:rsidR="00AF4003" w:rsidRDefault="00AF4003" w:rsidP="00AF4003">
      <w:pPr>
        <w:pStyle w:val="BodyText"/>
        <w:numPr>
          <w:ilvl w:val="0"/>
          <w:numId w:val="39"/>
        </w:numPr>
        <w:spacing w:before="87" w:line="340" w:lineRule="auto"/>
        <w:ind w:left="360"/>
        <w:jc w:val="both"/>
        <w:rPr>
          <w:bCs/>
          <w:color w:val="221F1F"/>
        </w:rPr>
      </w:pPr>
      <w:r w:rsidRPr="00AF4003">
        <w:rPr>
          <w:bCs/>
          <w:color w:val="221F1F"/>
        </w:rPr>
        <w:t>Bond, G.R., R.W. Woodward, and M. Ho, The growing impact of pediatric pharmaceutical poisoning. The Journal of pediatrics, 2012. 160(2): p. 265-270. e1.</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Bryant S, Singer J. Management of toxic exposure in children. </w:t>
      </w:r>
      <w:proofErr w:type="spellStart"/>
      <w:r w:rsidRPr="00101F43">
        <w:rPr>
          <w:bCs/>
          <w:color w:val="221F1F"/>
        </w:rPr>
        <w:t>Emerg</w:t>
      </w:r>
      <w:proofErr w:type="spellEnd"/>
      <w:r w:rsidRPr="00101F43">
        <w:rPr>
          <w:bCs/>
          <w:color w:val="221F1F"/>
        </w:rPr>
        <w:t xml:space="preserve"> Med </w:t>
      </w:r>
      <w:proofErr w:type="spellStart"/>
      <w:r w:rsidRPr="00101F43">
        <w:rPr>
          <w:bCs/>
          <w:color w:val="221F1F"/>
        </w:rPr>
        <w:t>Clin</w:t>
      </w:r>
      <w:proofErr w:type="spellEnd"/>
      <w:r w:rsidRPr="00101F43">
        <w:rPr>
          <w:bCs/>
          <w:color w:val="221F1F"/>
        </w:rPr>
        <w:t xml:space="preserve"> N Am 2003</w:t>
      </w:r>
      <w:proofErr w:type="gramStart"/>
      <w:r w:rsidRPr="00101F43">
        <w:rPr>
          <w:bCs/>
          <w:color w:val="221F1F"/>
        </w:rPr>
        <w:t>;21</w:t>
      </w:r>
      <w:proofErr w:type="gramEnd"/>
      <w:r w:rsidRPr="00101F43">
        <w:rPr>
          <w:bCs/>
          <w:color w:val="221F1F"/>
        </w:rPr>
        <w:t>(1):101 – 19.</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lastRenderedPageBreak/>
        <w:t>Burghardt</w:t>
      </w:r>
      <w:proofErr w:type="spellEnd"/>
      <w:r w:rsidRPr="00101F43">
        <w:rPr>
          <w:bCs/>
          <w:color w:val="221F1F"/>
        </w:rPr>
        <w:t xml:space="preserve">, L. C., Ayers, J. W., Brownstein, J. S., Bronstein, A. C., </w:t>
      </w:r>
      <w:proofErr w:type="spellStart"/>
      <w:r w:rsidRPr="00101F43">
        <w:rPr>
          <w:bCs/>
          <w:color w:val="221F1F"/>
        </w:rPr>
        <w:t>Ewald</w:t>
      </w:r>
      <w:proofErr w:type="spellEnd"/>
      <w:r w:rsidRPr="00101F43">
        <w:rPr>
          <w:bCs/>
          <w:color w:val="221F1F"/>
        </w:rPr>
        <w:t xml:space="preserve">, M. B., &amp; Bourgeois, F. T. (2013). Adult prescription drug use and pediatric medication exposures and poisonings. Pediatrics, 132(1), 18–27. </w:t>
      </w:r>
      <w:hyperlink r:id="rId43" w:history="1">
        <w:r w:rsidRPr="00101F43">
          <w:rPr>
            <w:color w:val="221F1F"/>
          </w:rPr>
          <w:t>https://doi.org/10.1542/peds.2012-2978</w:t>
        </w:r>
      </w:hyperlink>
    </w:p>
    <w:p w:rsidR="00AF4003" w:rsidRPr="00101F43" w:rsidRDefault="00AF4003" w:rsidP="00AF4003">
      <w:pPr>
        <w:pStyle w:val="BodyText"/>
        <w:numPr>
          <w:ilvl w:val="0"/>
          <w:numId w:val="39"/>
        </w:numPr>
        <w:spacing w:before="87" w:line="340" w:lineRule="auto"/>
        <w:ind w:left="360"/>
        <w:jc w:val="both"/>
        <w:rPr>
          <w:color w:val="221F1F"/>
        </w:rPr>
      </w:pPr>
      <w:r w:rsidRPr="00101F43">
        <w:rPr>
          <w:bCs/>
          <w:color w:val="221F1F"/>
        </w:rPr>
        <w:t xml:space="preserve">Butler-Dawson, J., Galvin, K., Thorne, P. S., &amp; </w:t>
      </w:r>
      <w:proofErr w:type="spellStart"/>
      <w:r w:rsidRPr="00101F43">
        <w:rPr>
          <w:bCs/>
          <w:color w:val="221F1F"/>
        </w:rPr>
        <w:t>Rohlman</w:t>
      </w:r>
      <w:proofErr w:type="spellEnd"/>
      <w:r w:rsidRPr="00101F43">
        <w:rPr>
          <w:bCs/>
          <w:color w:val="221F1F"/>
        </w:rPr>
        <w:t xml:space="preserve">, D. S. (2016). </w:t>
      </w:r>
      <w:proofErr w:type="spellStart"/>
      <w:r w:rsidRPr="00101F43">
        <w:rPr>
          <w:bCs/>
          <w:color w:val="221F1F"/>
        </w:rPr>
        <w:t>Organophosphorus</w:t>
      </w:r>
      <w:proofErr w:type="spellEnd"/>
      <w:r w:rsidRPr="00101F43">
        <w:rPr>
          <w:bCs/>
          <w:color w:val="221F1F"/>
        </w:rPr>
        <w:t xml:space="preserve"> pesticide exposure and neurobehavioral performance in Latino children living in an orchard community. </w:t>
      </w:r>
      <w:proofErr w:type="spellStart"/>
      <w:r w:rsidRPr="00101F43">
        <w:rPr>
          <w:bCs/>
          <w:color w:val="221F1F"/>
        </w:rPr>
        <w:t>Neurotoxicology</w:t>
      </w:r>
      <w:proofErr w:type="spellEnd"/>
      <w:r w:rsidRPr="00101F43">
        <w:rPr>
          <w:bCs/>
          <w:color w:val="221F1F"/>
        </w:rPr>
        <w:t xml:space="preserve">, 53, 165–172. </w:t>
      </w:r>
      <w:hyperlink r:id="rId44" w:history="1">
        <w:r w:rsidRPr="00101F43">
          <w:rPr>
            <w:color w:val="221F1F"/>
          </w:rPr>
          <w:t>https://doi.org/10.1016/j.neuro.2016.01.009</w:t>
        </w:r>
      </w:hyperlink>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Caribbean Epidemiology Centre (CAREC). Epidemiology of poisoning in CAREC-member countries. CAREC Surveillance Report. 1986</w:t>
      </w:r>
      <w:proofErr w:type="gramStart"/>
      <w:r w:rsidRPr="00101F43">
        <w:rPr>
          <w:bCs/>
          <w:color w:val="221F1F"/>
        </w:rPr>
        <w:t>;12:2</w:t>
      </w:r>
      <w:proofErr w:type="gramEnd"/>
      <w:r w:rsidRPr="00101F43">
        <w:rPr>
          <w:bCs/>
          <w:color w:val="221F1F"/>
        </w:rPr>
        <w:t>–3.</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Christesen</w:t>
      </w:r>
      <w:proofErr w:type="spellEnd"/>
      <w:r w:rsidRPr="00101F43">
        <w:rPr>
          <w:bCs/>
          <w:color w:val="221F1F"/>
        </w:rPr>
        <w:t xml:space="preserve"> HBT. Prediction of complications following unintentional caustic ingestion in children. Is endoscopy always necessary? </w:t>
      </w:r>
      <w:proofErr w:type="spellStart"/>
      <w:r w:rsidRPr="00101F43">
        <w:rPr>
          <w:bCs/>
          <w:color w:val="221F1F"/>
        </w:rPr>
        <w:t>Acta</w:t>
      </w:r>
      <w:proofErr w:type="spellEnd"/>
      <w:r w:rsidRPr="00101F43">
        <w:rPr>
          <w:bCs/>
          <w:color w:val="221F1F"/>
        </w:rPr>
        <w:t xml:space="preserve"> Pediatr1995; 84: 1177–82</w:t>
      </w:r>
    </w:p>
    <w:p w:rsidR="00AF4003" w:rsidRDefault="00AF4003" w:rsidP="00AF4003">
      <w:pPr>
        <w:pStyle w:val="BodyText"/>
        <w:numPr>
          <w:ilvl w:val="0"/>
          <w:numId w:val="39"/>
        </w:numPr>
        <w:spacing w:before="87" w:line="340" w:lineRule="auto"/>
        <w:ind w:left="360"/>
        <w:jc w:val="both"/>
        <w:rPr>
          <w:bCs/>
          <w:color w:val="221F1F"/>
        </w:rPr>
      </w:pPr>
      <w:r w:rsidRPr="00101F43">
        <w:rPr>
          <w:bCs/>
          <w:color w:val="221F1F"/>
        </w:rPr>
        <w:t>Committee on Injury and Poison Prevention, American Academy of Pediatrics. Injury prevention in and around the home. In: Injury Prevention and Control for Children and Youth, American Academy of Pediatrics, Elk Grove Village, IL 1997. p.47</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CPSC requires child-resistant packaging for common household products containing hydrocarbons, including some baby oils. [6 January 2023]. US Consumer Product Safety Commission (</w:t>
      </w:r>
      <w:hyperlink r:id="rId45" w:history="1">
        <w:r w:rsidRPr="00101F43">
          <w:rPr>
            <w:color w:val="221F1F"/>
          </w:rPr>
          <w:t>http://www​.cpsc.gov/cpscpub​/prerel/prhtml02/02015.html</w:t>
        </w:r>
      </w:hyperlink>
      <w:r w:rsidRPr="00101F43">
        <w:rPr>
          <w:bCs/>
          <w:color w:val="221F1F"/>
        </w:rPr>
        <w:t>.</w:t>
      </w:r>
    </w:p>
    <w:p w:rsidR="00AF4003" w:rsidRDefault="00AF4003" w:rsidP="00AF4003">
      <w:pPr>
        <w:pStyle w:val="BodyText"/>
        <w:numPr>
          <w:ilvl w:val="0"/>
          <w:numId w:val="39"/>
        </w:numPr>
        <w:spacing w:before="87" w:line="340" w:lineRule="auto"/>
        <w:ind w:left="360"/>
        <w:jc w:val="both"/>
        <w:rPr>
          <w:bCs/>
          <w:color w:val="221F1F"/>
        </w:rPr>
      </w:pPr>
      <w:r w:rsidRPr="00AF4003">
        <w:rPr>
          <w:bCs/>
          <w:color w:val="221F1F"/>
        </w:rPr>
        <w:t>Cripps, R. and D. Steel, Childhood poisoning in Australia. NISU briefing, 2006. 5: p. 12pp.</w:t>
      </w:r>
    </w:p>
    <w:p w:rsidR="00AF4003" w:rsidRDefault="00AF4003" w:rsidP="00AF4003">
      <w:pPr>
        <w:pStyle w:val="BodyText"/>
        <w:numPr>
          <w:ilvl w:val="0"/>
          <w:numId w:val="39"/>
        </w:numPr>
        <w:spacing w:before="87" w:line="340" w:lineRule="auto"/>
        <w:ind w:left="360"/>
        <w:jc w:val="both"/>
        <w:rPr>
          <w:bCs/>
          <w:color w:val="221F1F"/>
        </w:rPr>
      </w:pPr>
      <w:proofErr w:type="spellStart"/>
      <w:r w:rsidRPr="00AF4003">
        <w:rPr>
          <w:bCs/>
          <w:color w:val="221F1F"/>
        </w:rPr>
        <w:t>Dayasiri</w:t>
      </w:r>
      <w:proofErr w:type="spellEnd"/>
      <w:r w:rsidRPr="00AF4003">
        <w:rPr>
          <w:bCs/>
          <w:color w:val="221F1F"/>
        </w:rPr>
        <w:t xml:space="preserve">, M., S.F. </w:t>
      </w:r>
      <w:proofErr w:type="spellStart"/>
      <w:r w:rsidRPr="00AF4003">
        <w:rPr>
          <w:bCs/>
          <w:color w:val="221F1F"/>
        </w:rPr>
        <w:t>Jayamanne</w:t>
      </w:r>
      <w:proofErr w:type="spellEnd"/>
      <w:r w:rsidRPr="00AF4003">
        <w:rPr>
          <w:bCs/>
          <w:color w:val="221F1F"/>
        </w:rPr>
        <w:t xml:space="preserve">, and C.Y. </w:t>
      </w:r>
      <w:proofErr w:type="spellStart"/>
      <w:r w:rsidRPr="00AF4003">
        <w:rPr>
          <w:bCs/>
          <w:color w:val="221F1F"/>
        </w:rPr>
        <w:t>Jayasinghe</w:t>
      </w:r>
      <w:proofErr w:type="spellEnd"/>
      <w:r w:rsidRPr="00AF4003">
        <w:rPr>
          <w:bCs/>
          <w:color w:val="221F1F"/>
        </w:rPr>
        <w:t xml:space="preserve">, Patterns and outcome of acute poisoning among children in rural Sri Lanka. BMC </w:t>
      </w:r>
      <w:proofErr w:type="spellStart"/>
      <w:r w:rsidRPr="00AF4003">
        <w:rPr>
          <w:bCs/>
          <w:color w:val="221F1F"/>
        </w:rPr>
        <w:t>Pediatr</w:t>
      </w:r>
      <w:proofErr w:type="spellEnd"/>
      <w:r w:rsidRPr="00AF4003">
        <w:rPr>
          <w:bCs/>
          <w:color w:val="221F1F"/>
        </w:rPr>
        <w:t>, 2018. 18(1): p. 274.</w:t>
      </w:r>
    </w:p>
    <w:p w:rsidR="00AF4003" w:rsidRDefault="00AF4003" w:rsidP="00AF4003">
      <w:pPr>
        <w:pStyle w:val="BodyText"/>
        <w:numPr>
          <w:ilvl w:val="0"/>
          <w:numId w:val="39"/>
        </w:numPr>
        <w:spacing w:before="87" w:line="340" w:lineRule="auto"/>
        <w:ind w:left="360"/>
        <w:jc w:val="both"/>
        <w:rPr>
          <w:bCs/>
          <w:color w:val="221F1F"/>
        </w:rPr>
      </w:pPr>
      <w:proofErr w:type="spellStart"/>
      <w:r w:rsidRPr="00AF4003">
        <w:rPr>
          <w:bCs/>
          <w:color w:val="221F1F"/>
        </w:rPr>
        <w:lastRenderedPageBreak/>
        <w:t>Dhanya</w:t>
      </w:r>
      <w:proofErr w:type="spellEnd"/>
      <w:r w:rsidRPr="00AF4003">
        <w:rPr>
          <w:bCs/>
          <w:color w:val="221F1F"/>
        </w:rPr>
        <w:t>, S., et al., A retrospective analysis of the pattern of poisoning in patients admitted to Medical College hospital. Calicut Medical Journal, 2009. 7(2): p. e3.</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Flanagan R, Rooney C, Griffiths C. Fatal poisoning in childhood, England and Wales, 1968–2000. Forensic Science International. 2005;148:121–129</w:t>
      </w:r>
    </w:p>
    <w:p w:rsidR="00AF4003" w:rsidRDefault="00AF4003" w:rsidP="00AF4003">
      <w:pPr>
        <w:pStyle w:val="BodyText"/>
        <w:numPr>
          <w:ilvl w:val="0"/>
          <w:numId w:val="39"/>
        </w:numPr>
        <w:spacing w:before="87" w:line="340" w:lineRule="auto"/>
        <w:ind w:left="360"/>
        <w:jc w:val="both"/>
        <w:rPr>
          <w:bCs/>
          <w:color w:val="221F1F"/>
        </w:rPr>
      </w:pPr>
      <w:proofErr w:type="spellStart"/>
      <w:r w:rsidRPr="00932525">
        <w:rPr>
          <w:bCs/>
          <w:color w:val="221F1F"/>
        </w:rPr>
        <w:t>Gaudreault</w:t>
      </w:r>
      <w:proofErr w:type="spellEnd"/>
      <w:r w:rsidRPr="00932525">
        <w:rPr>
          <w:bCs/>
          <w:color w:val="221F1F"/>
        </w:rPr>
        <w:t xml:space="preserve"> P, Parent M, </w:t>
      </w:r>
      <w:proofErr w:type="spellStart"/>
      <w:r w:rsidRPr="00932525">
        <w:rPr>
          <w:bCs/>
          <w:color w:val="221F1F"/>
        </w:rPr>
        <w:t>McGuigan</w:t>
      </w:r>
      <w:proofErr w:type="spellEnd"/>
      <w:r w:rsidRPr="00932525">
        <w:rPr>
          <w:bCs/>
          <w:color w:val="221F1F"/>
        </w:rPr>
        <w:t xml:space="preserve"> MA, et al. Predictability of esophageal injury from signs and symptoms: a study of caustic ingestion in 378 children. Pediatrics1983</w:t>
      </w:r>
      <w:proofErr w:type="gramStart"/>
      <w:r w:rsidRPr="00932525">
        <w:rPr>
          <w:bCs/>
          <w:color w:val="221F1F"/>
        </w:rPr>
        <w:t>;71:767</w:t>
      </w:r>
      <w:proofErr w:type="gramEnd"/>
      <w:r w:rsidRPr="00932525">
        <w:rPr>
          <w:bCs/>
          <w:color w:val="221F1F"/>
        </w:rPr>
        <w:t>–70.</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Goldman L, Tran N. Toxics and poverty: the impact of toxic substances on the poor in developing countries. Washington, DC: World Bank; 2002.</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Graham J, Leonard J, </w:t>
      </w:r>
      <w:proofErr w:type="spellStart"/>
      <w:r w:rsidRPr="00101F43">
        <w:rPr>
          <w:bCs/>
          <w:color w:val="221F1F"/>
        </w:rPr>
        <w:t>Banerji</w:t>
      </w:r>
      <w:proofErr w:type="spellEnd"/>
      <w:r w:rsidRPr="00101F43">
        <w:rPr>
          <w:bCs/>
          <w:color w:val="221F1F"/>
        </w:rPr>
        <w:t xml:space="preserve"> S, Wang GS. Illicit Drug Exposures in Young Pediatric </w:t>
      </w:r>
      <w:proofErr w:type="spellStart"/>
      <w:r w:rsidRPr="00101F43">
        <w:rPr>
          <w:bCs/>
          <w:color w:val="221F1F"/>
        </w:rPr>
        <w:t>PatientsReported</w:t>
      </w:r>
      <w:proofErr w:type="spellEnd"/>
      <w:r w:rsidRPr="00101F43">
        <w:rPr>
          <w:bCs/>
          <w:color w:val="221F1F"/>
        </w:rPr>
        <w:t xml:space="preserve"> to the National Poison Data System, 2006-2016. J </w:t>
      </w:r>
      <w:proofErr w:type="spellStart"/>
      <w:r w:rsidRPr="00101F43">
        <w:rPr>
          <w:bCs/>
          <w:color w:val="221F1F"/>
        </w:rPr>
        <w:t>Pediatr</w:t>
      </w:r>
      <w:proofErr w:type="spellEnd"/>
      <w:r w:rsidRPr="00101F43">
        <w:rPr>
          <w:bCs/>
          <w:color w:val="221F1F"/>
        </w:rPr>
        <w:t xml:space="preserve"> 2020; 219:254</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Grant-Alfieri A, </w:t>
      </w:r>
      <w:proofErr w:type="spellStart"/>
      <w:r w:rsidRPr="00101F43">
        <w:rPr>
          <w:bCs/>
          <w:color w:val="221F1F"/>
        </w:rPr>
        <w:t>Schaechter</w:t>
      </w:r>
      <w:proofErr w:type="spellEnd"/>
      <w:r w:rsidRPr="00101F43">
        <w:rPr>
          <w:bCs/>
          <w:color w:val="221F1F"/>
        </w:rPr>
        <w:t xml:space="preserve"> J, </w:t>
      </w:r>
      <w:proofErr w:type="spellStart"/>
      <w:r w:rsidRPr="00101F43">
        <w:rPr>
          <w:bCs/>
          <w:color w:val="221F1F"/>
        </w:rPr>
        <w:t>Lipshultz</w:t>
      </w:r>
      <w:proofErr w:type="spellEnd"/>
      <w:r w:rsidRPr="00101F43">
        <w:rPr>
          <w:bCs/>
          <w:color w:val="221F1F"/>
        </w:rPr>
        <w:t xml:space="preserve"> SE. Ingesting and aspirating dry cinnamon </w:t>
      </w:r>
      <w:proofErr w:type="spellStart"/>
      <w:r w:rsidRPr="00101F43">
        <w:rPr>
          <w:bCs/>
          <w:color w:val="221F1F"/>
        </w:rPr>
        <w:t>bychildren</w:t>
      </w:r>
      <w:proofErr w:type="spellEnd"/>
      <w:r w:rsidRPr="00101F43">
        <w:rPr>
          <w:bCs/>
          <w:color w:val="221F1F"/>
        </w:rPr>
        <w:t xml:space="preserve"> and adolescents: the "cinnamon challenge". Pediatrics 2013; 131:833</w:t>
      </w:r>
    </w:p>
    <w:p w:rsidR="00AF4003" w:rsidRPr="00542DD0" w:rsidRDefault="00AF4003" w:rsidP="00AF4003">
      <w:pPr>
        <w:pStyle w:val="BodyText"/>
        <w:numPr>
          <w:ilvl w:val="0"/>
          <w:numId w:val="39"/>
        </w:numPr>
        <w:spacing w:before="87" w:line="340" w:lineRule="auto"/>
        <w:ind w:left="360"/>
        <w:jc w:val="both"/>
        <w:rPr>
          <w:bCs/>
          <w:color w:val="221F1F"/>
        </w:rPr>
      </w:pPr>
      <w:r w:rsidRPr="00542DD0">
        <w:rPr>
          <w:bCs/>
          <w:color w:val="221F1F"/>
        </w:rPr>
        <w:t xml:space="preserve">Greene S, Harris C, Singer J. Gastrointestinal decontamination of the poisoned patient. </w:t>
      </w:r>
      <w:proofErr w:type="spellStart"/>
      <w:r w:rsidRPr="00542DD0">
        <w:rPr>
          <w:bCs/>
          <w:color w:val="221F1F"/>
        </w:rPr>
        <w:t>Pediatr</w:t>
      </w:r>
      <w:proofErr w:type="spellEnd"/>
      <w:r w:rsidRPr="00542DD0">
        <w:rPr>
          <w:bCs/>
          <w:color w:val="221F1F"/>
        </w:rPr>
        <w:t xml:space="preserve"> </w:t>
      </w:r>
      <w:proofErr w:type="spellStart"/>
      <w:r w:rsidRPr="00542DD0">
        <w:rPr>
          <w:bCs/>
          <w:color w:val="221F1F"/>
        </w:rPr>
        <w:t>Emerg</w:t>
      </w:r>
      <w:proofErr w:type="spellEnd"/>
      <w:r w:rsidRPr="00542DD0">
        <w:rPr>
          <w:bCs/>
          <w:color w:val="221F1F"/>
        </w:rPr>
        <w:t xml:space="preserve"> Care. 2008</w:t>
      </w:r>
      <w:proofErr w:type="gramStart"/>
      <w:r w:rsidRPr="00542DD0">
        <w:rPr>
          <w:bCs/>
          <w:color w:val="221F1F"/>
        </w:rPr>
        <w:t>;24</w:t>
      </w:r>
      <w:proofErr w:type="gramEnd"/>
      <w:r w:rsidRPr="00542DD0">
        <w:rPr>
          <w:bCs/>
          <w:color w:val="221F1F"/>
        </w:rPr>
        <w:t>(3):176-189. doi:10.1097/PEC.0b013e318166a092</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Gummin</w:t>
      </w:r>
      <w:proofErr w:type="spellEnd"/>
      <w:r w:rsidRPr="00101F43">
        <w:rPr>
          <w:bCs/>
          <w:color w:val="221F1F"/>
        </w:rPr>
        <w:t xml:space="preserve">, D. D., </w:t>
      </w:r>
      <w:proofErr w:type="spellStart"/>
      <w:r w:rsidRPr="00101F43">
        <w:rPr>
          <w:bCs/>
          <w:color w:val="221F1F"/>
        </w:rPr>
        <w:t>Mowry</w:t>
      </w:r>
      <w:proofErr w:type="spellEnd"/>
      <w:r w:rsidRPr="00101F43">
        <w:rPr>
          <w:bCs/>
          <w:color w:val="221F1F"/>
        </w:rPr>
        <w:t xml:space="preserve">, J. B., </w:t>
      </w:r>
      <w:proofErr w:type="spellStart"/>
      <w:r w:rsidRPr="00101F43">
        <w:rPr>
          <w:bCs/>
          <w:color w:val="221F1F"/>
        </w:rPr>
        <w:t>Beuhler</w:t>
      </w:r>
      <w:proofErr w:type="spellEnd"/>
      <w:r w:rsidRPr="00101F43">
        <w:rPr>
          <w:bCs/>
          <w:color w:val="221F1F"/>
        </w:rPr>
        <w:t xml:space="preserve">, M. C., </w:t>
      </w:r>
      <w:proofErr w:type="spellStart"/>
      <w:r w:rsidRPr="00101F43">
        <w:rPr>
          <w:bCs/>
          <w:color w:val="221F1F"/>
        </w:rPr>
        <w:t>Spyker</w:t>
      </w:r>
      <w:proofErr w:type="spellEnd"/>
      <w:r w:rsidRPr="00101F43">
        <w:rPr>
          <w:bCs/>
          <w:color w:val="221F1F"/>
        </w:rPr>
        <w:t xml:space="preserve">, D. A., Bronstein, A. C., Rivers, L. J., Pham, N. P. T., &amp; Weber, J. (2021). 2020 Annual Report of the American Association of Poison Control Centers' National Poison Data System (NPDS): 38th Annual Report. Clinical toxicology (Philadelphia, Pa.), 59(12), 1282–1501. </w:t>
      </w:r>
      <w:hyperlink r:id="rId46" w:history="1">
        <w:r w:rsidRPr="00101F43">
          <w:rPr>
            <w:color w:val="221F1F"/>
          </w:rPr>
          <w:t>https://doi.org/10.1080/15563650.2021.1989785</w:t>
        </w:r>
      </w:hyperlink>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Hampton LM, Nguyen DB, Edwards JR, </w:t>
      </w:r>
      <w:proofErr w:type="spellStart"/>
      <w:r w:rsidRPr="00101F43">
        <w:rPr>
          <w:bCs/>
          <w:color w:val="221F1F"/>
        </w:rPr>
        <w:t>Budnitz</w:t>
      </w:r>
      <w:proofErr w:type="spellEnd"/>
      <w:r w:rsidRPr="00101F43">
        <w:rPr>
          <w:bCs/>
          <w:color w:val="221F1F"/>
        </w:rPr>
        <w:t xml:space="preserve"> DS. Cough and cold medication adverse events </w:t>
      </w:r>
      <w:proofErr w:type="spellStart"/>
      <w:r w:rsidRPr="00101F43">
        <w:rPr>
          <w:bCs/>
          <w:color w:val="221F1F"/>
        </w:rPr>
        <w:t>after market</w:t>
      </w:r>
      <w:proofErr w:type="spellEnd"/>
      <w:r w:rsidRPr="00101F43">
        <w:rPr>
          <w:bCs/>
          <w:color w:val="221F1F"/>
        </w:rPr>
        <w:t xml:space="preserve"> withdrawal and labeling revision. </w:t>
      </w:r>
      <w:r w:rsidRPr="00101F43">
        <w:rPr>
          <w:bCs/>
          <w:color w:val="221F1F"/>
        </w:rPr>
        <w:lastRenderedPageBreak/>
        <w:t>Pediatrics 2013; 132:1047.</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Henry K, Harris CR. Deadly ingestions. </w:t>
      </w:r>
      <w:proofErr w:type="spellStart"/>
      <w:r w:rsidRPr="00101F43">
        <w:rPr>
          <w:bCs/>
          <w:color w:val="221F1F"/>
        </w:rPr>
        <w:t>Pediatr</w:t>
      </w:r>
      <w:proofErr w:type="spellEnd"/>
      <w:r w:rsidRPr="00101F43">
        <w:rPr>
          <w:bCs/>
          <w:color w:val="221F1F"/>
        </w:rPr>
        <w:t xml:space="preserve"> </w:t>
      </w:r>
      <w:proofErr w:type="spellStart"/>
      <w:r w:rsidRPr="00101F43">
        <w:rPr>
          <w:bCs/>
          <w:color w:val="221F1F"/>
        </w:rPr>
        <w:t>Clin</w:t>
      </w:r>
      <w:proofErr w:type="spellEnd"/>
      <w:r w:rsidRPr="00101F43">
        <w:rPr>
          <w:bCs/>
          <w:color w:val="221F1F"/>
        </w:rPr>
        <w:t xml:space="preserve"> North Am 2006; 53:293.</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Henry K, Harris CR. Deadly ingestions. </w:t>
      </w:r>
      <w:proofErr w:type="spellStart"/>
      <w:r w:rsidRPr="00101F43">
        <w:rPr>
          <w:bCs/>
          <w:color w:val="221F1F"/>
        </w:rPr>
        <w:t>Pediatr</w:t>
      </w:r>
      <w:proofErr w:type="spellEnd"/>
      <w:r w:rsidRPr="00101F43">
        <w:rPr>
          <w:bCs/>
          <w:color w:val="221F1F"/>
        </w:rPr>
        <w:t xml:space="preserve"> </w:t>
      </w:r>
      <w:proofErr w:type="spellStart"/>
      <w:r w:rsidRPr="00101F43">
        <w:rPr>
          <w:bCs/>
          <w:color w:val="221F1F"/>
        </w:rPr>
        <w:t>Clin</w:t>
      </w:r>
      <w:proofErr w:type="spellEnd"/>
      <w:r w:rsidRPr="00101F43">
        <w:rPr>
          <w:bCs/>
          <w:color w:val="221F1F"/>
        </w:rPr>
        <w:t xml:space="preserve"> North Am 2006; 53:293.</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Hoffman RJ, </w:t>
      </w:r>
      <w:proofErr w:type="spellStart"/>
      <w:r w:rsidRPr="00101F43">
        <w:rPr>
          <w:bCs/>
          <w:color w:val="221F1F"/>
        </w:rPr>
        <w:t>Osterhoudt</w:t>
      </w:r>
      <w:proofErr w:type="spellEnd"/>
      <w:r w:rsidRPr="00101F43">
        <w:rPr>
          <w:bCs/>
          <w:color w:val="221F1F"/>
        </w:rPr>
        <w:t xml:space="preserve"> KC. Evaluation and management of pediatric poisonings. </w:t>
      </w:r>
      <w:proofErr w:type="spellStart"/>
      <w:r w:rsidRPr="00101F43">
        <w:rPr>
          <w:bCs/>
          <w:color w:val="221F1F"/>
        </w:rPr>
        <w:t>Pediatr</w:t>
      </w:r>
      <w:proofErr w:type="spellEnd"/>
      <w:r w:rsidRPr="00101F43">
        <w:rPr>
          <w:bCs/>
          <w:color w:val="221F1F"/>
        </w:rPr>
        <w:t xml:space="preserve"> Case Rev 2002; 2(1):51 – 63.</w:t>
      </w:r>
    </w:p>
    <w:p w:rsidR="00AF4003" w:rsidRPr="00542DD0" w:rsidRDefault="00AF4003" w:rsidP="00AF4003">
      <w:pPr>
        <w:pStyle w:val="BodyText"/>
        <w:numPr>
          <w:ilvl w:val="0"/>
          <w:numId w:val="39"/>
        </w:numPr>
        <w:spacing w:before="87" w:line="340" w:lineRule="auto"/>
        <w:ind w:left="360"/>
        <w:jc w:val="both"/>
        <w:rPr>
          <w:bCs/>
          <w:color w:val="221F1F"/>
        </w:rPr>
      </w:pPr>
      <w:r w:rsidRPr="00542DD0">
        <w:rPr>
          <w:bCs/>
          <w:color w:val="221F1F"/>
        </w:rPr>
        <w:t xml:space="preserve">Houston M, Hendrickson RG. Decontamination. </w:t>
      </w:r>
      <w:proofErr w:type="spellStart"/>
      <w:r w:rsidRPr="00542DD0">
        <w:rPr>
          <w:bCs/>
          <w:color w:val="221F1F"/>
        </w:rPr>
        <w:t>Crit</w:t>
      </w:r>
      <w:proofErr w:type="spellEnd"/>
      <w:r w:rsidRPr="00542DD0">
        <w:rPr>
          <w:bCs/>
          <w:color w:val="221F1F"/>
        </w:rPr>
        <w:t xml:space="preserve"> Care </w:t>
      </w:r>
      <w:proofErr w:type="spellStart"/>
      <w:r w:rsidRPr="00542DD0">
        <w:rPr>
          <w:bCs/>
          <w:color w:val="221F1F"/>
        </w:rPr>
        <w:t>Clin</w:t>
      </w:r>
      <w:proofErr w:type="spellEnd"/>
      <w:r w:rsidRPr="00542DD0">
        <w:rPr>
          <w:bCs/>
          <w:color w:val="221F1F"/>
        </w:rPr>
        <w:t xml:space="preserve"> 2005</w:t>
      </w:r>
      <w:proofErr w:type="gramStart"/>
      <w:r w:rsidRPr="00542DD0">
        <w:rPr>
          <w:bCs/>
          <w:color w:val="221F1F"/>
        </w:rPr>
        <w:t>;21:653</w:t>
      </w:r>
      <w:proofErr w:type="gramEnd"/>
      <w:r w:rsidRPr="00542DD0">
        <w:rPr>
          <w:bCs/>
          <w:color w:val="221F1F"/>
        </w:rPr>
        <w:t>-72.</w:t>
      </w:r>
    </w:p>
    <w:p w:rsidR="00AF4003" w:rsidRPr="00932525" w:rsidRDefault="00AF4003" w:rsidP="00AF4003">
      <w:pPr>
        <w:pStyle w:val="BodyText"/>
        <w:numPr>
          <w:ilvl w:val="0"/>
          <w:numId w:val="39"/>
        </w:numPr>
        <w:spacing w:before="87" w:line="340" w:lineRule="auto"/>
        <w:ind w:left="360"/>
        <w:jc w:val="both"/>
        <w:rPr>
          <w:bCs/>
          <w:color w:val="221F1F"/>
        </w:rPr>
      </w:pPr>
      <w:proofErr w:type="spellStart"/>
      <w:r w:rsidRPr="00932525">
        <w:rPr>
          <w:rFonts w:asciiTheme="majorBidi" w:hAnsiTheme="majorBidi" w:cstheme="majorBidi"/>
          <w:bCs/>
          <w:lang w:bidi="ar-EG"/>
        </w:rPr>
        <w:t>Hui</w:t>
      </w:r>
      <w:proofErr w:type="spellEnd"/>
      <w:r w:rsidRPr="00932525">
        <w:rPr>
          <w:rFonts w:asciiTheme="majorBidi" w:hAnsiTheme="majorBidi" w:cstheme="majorBidi"/>
          <w:bCs/>
          <w:lang w:bidi="ar-EG"/>
        </w:rPr>
        <w:t xml:space="preserve"> WF, Hon KL, Leung AKC. An Overview of the Pediatric </w:t>
      </w:r>
      <w:proofErr w:type="spellStart"/>
      <w:r w:rsidRPr="00932525">
        <w:rPr>
          <w:rFonts w:asciiTheme="majorBidi" w:hAnsiTheme="majorBidi" w:cstheme="majorBidi"/>
          <w:bCs/>
          <w:lang w:bidi="ar-EG"/>
        </w:rPr>
        <w:t>Toxidromes</w:t>
      </w:r>
      <w:proofErr w:type="spellEnd"/>
      <w:r w:rsidRPr="00932525">
        <w:rPr>
          <w:rFonts w:asciiTheme="majorBidi" w:hAnsiTheme="majorBidi" w:cstheme="majorBidi"/>
          <w:bCs/>
          <w:lang w:bidi="ar-EG"/>
        </w:rPr>
        <w:t xml:space="preserve"> and Poisoning Management. </w:t>
      </w:r>
      <w:proofErr w:type="spellStart"/>
      <w:r w:rsidRPr="00932525">
        <w:rPr>
          <w:rFonts w:asciiTheme="majorBidi" w:hAnsiTheme="majorBidi" w:cstheme="majorBidi"/>
          <w:bCs/>
          <w:lang w:bidi="ar-EG"/>
        </w:rPr>
        <w:t>Curr</w:t>
      </w:r>
      <w:proofErr w:type="spellEnd"/>
      <w:r w:rsidRPr="00932525">
        <w:rPr>
          <w:rFonts w:asciiTheme="majorBidi" w:hAnsiTheme="majorBidi" w:cstheme="majorBidi"/>
          <w:bCs/>
          <w:lang w:bidi="ar-EG"/>
        </w:rPr>
        <w:t xml:space="preserve"> Rev </w:t>
      </w:r>
      <w:proofErr w:type="spellStart"/>
      <w:r w:rsidRPr="00932525">
        <w:rPr>
          <w:rFonts w:asciiTheme="majorBidi" w:hAnsiTheme="majorBidi" w:cstheme="majorBidi"/>
          <w:bCs/>
          <w:lang w:bidi="ar-EG"/>
        </w:rPr>
        <w:t>Clin</w:t>
      </w:r>
      <w:proofErr w:type="spellEnd"/>
      <w:r w:rsidRPr="00932525">
        <w:rPr>
          <w:rFonts w:asciiTheme="majorBidi" w:hAnsiTheme="majorBidi" w:cstheme="majorBidi"/>
          <w:bCs/>
          <w:lang w:bidi="ar-EG"/>
        </w:rPr>
        <w:t xml:space="preserve"> </w:t>
      </w:r>
      <w:proofErr w:type="spellStart"/>
      <w:r w:rsidRPr="00932525">
        <w:rPr>
          <w:rFonts w:asciiTheme="majorBidi" w:hAnsiTheme="majorBidi" w:cstheme="majorBidi"/>
          <w:bCs/>
          <w:lang w:bidi="ar-EG"/>
        </w:rPr>
        <w:t>Exp</w:t>
      </w:r>
      <w:proofErr w:type="spellEnd"/>
      <w:r w:rsidRPr="00932525">
        <w:rPr>
          <w:rFonts w:asciiTheme="majorBidi" w:hAnsiTheme="majorBidi" w:cstheme="majorBidi"/>
          <w:bCs/>
          <w:lang w:bidi="ar-EG"/>
        </w:rPr>
        <w:t xml:space="preserve"> </w:t>
      </w:r>
      <w:proofErr w:type="spellStart"/>
      <w:r w:rsidRPr="00932525">
        <w:rPr>
          <w:rFonts w:asciiTheme="majorBidi" w:hAnsiTheme="majorBidi" w:cstheme="majorBidi"/>
          <w:bCs/>
          <w:lang w:bidi="ar-EG"/>
        </w:rPr>
        <w:t>Pharmacol</w:t>
      </w:r>
      <w:proofErr w:type="spellEnd"/>
      <w:r w:rsidRPr="00932525">
        <w:rPr>
          <w:rFonts w:asciiTheme="majorBidi" w:hAnsiTheme="majorBidi" w:cstheme="majorBidi"/>
          <w:bCs/>
          <w:lang w:bidi="ar-EG"/>
        </w:rPr>
        <w:t>. 2021</w:t>
      </w:r>
      <w:proofErr w:type="gramStart"/>
      <w:r w:rsidRPr="00932525">
        <w:rPr>
          <w:rFonts w:asciiTheme="majorBidi" w:hAnsiTheme="majorBidi" w:cstheme="majorBidi"/>
          <w:bCs/>
          <w:lang w:bidi="ar-EG"/>
        </w:rPr>
        <w:t>;16</w:t>
      </w:r>
      <w:proofErr w:type="gramEnd"/>
      <w:r w:rsidRPr="00932525">
        <w:rPr>
          <w:rFonts w:asciiTheme="majorBidi" w:hAnsiTheme="majorBidi" w:cstheme="majorBidi"/>
          <w:bCs/>
          <w:lang w:bidi="ar-EG"/>
        </w:rPr>
        <w:t>(4):318-329.</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Johlubl</w:t>
      </w:r>
      <w:proofErr w:type="spellEnd"/>
      <w:r w:rsidRPr="00101F43">
        <w:rPr>
          <w:bCs/>
          <w:color w:val="221F1F"/>
        </w:rPr>
        <w:t xml:space="preserve">, Matthew E. (2009). Investigating Chemistry: A Forensic Science Perspective (2nd </w:t>
      </w:r>
      <w:proofErr w:type="gramStart"/>
      <w:r w:rsidRPr="00101F43">
        <w:rPr>
          <w:bCs/>
          <w:color w:val="221F1F"/>
        </w:rPr>
        <w:t>ed</w:t>
      </w:r>
      <w:proofErr w:type="gramEnd"/>
      <w:r w:rsidRPr="00101F43">
        <w:rPr>
          <w:bCs/>
          <w:color w:val="221F1F"/>
        </w:rPr>
        <w:t>.). New York: W. H. Freeman and Co. ISBN 978-1429209892.</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Jones AL, et al. </w:t>
      </w:r>
      <w:proofErr w:type="gramStart"/>
      <w:r w:rsidRPr="00101F43">
        <w:rPr>
          <w:bCs/>
          <w:color w:val="221F1F"/>
        </w:rPr>
        <w:t>Should</w:t>
      </w:r>
      <w:proofErr w:type="gramEnd"/>
      <w:r w:rsidRPr="00101F43">
        <w:rPr>
          <w:bCs/>
          <w:color w:val="221F1F"/>
        </w:rPr>
        <w:t xml:space="preserve"> methionine be added to every </w:t>
      </w:r>
      <w:proofErr w:type="spellStart"/>
      <w:r w:rsidRPr="00101F43">
        <w:rPr>
          <w:bCs/>
          <w:color w:val="221F1F"/>
        </w:rPr>
        <w:t>paracetamol</w:t>
      </w:r>
      <w:proofErr w:type="spellEnd"/>
      <w:r w:rsidRPr="00101F43">
        <w:rPr>
          <w:bCs/>
          <w:color w:val="221F1F"/>
        </w:rPr>
        <w:t xml:space="preserve"> tablet? British Medical Journal. 1997</w:t>
      </w:r>
      <w:proofErr w:type="gramStart"/>
      <w:r w:rsidRPr="00101F43">
        <w:rPr>
          <w:bCs/>
          <w:color w:val="221F1F"/>
        </w:rPr>
        <w:t>;315:301</w:t>
      </w:r>
      <w:proofErr w:type="gramEnd"/>
      <w:r w:rsidRPr="00101F43">
        <w:rPr>
          <w:bCs/>
          <w:color w:val="221F1F"/>
        </w:rPr>
        <w:t>–304.</w:t>
      </w:r>
    </w:p>
    <w:p w:rsidR="00AF4003" w:rsidRPr="00542DD0" w:rsidRDefault="00AF4003" w:rsidP="00AF4003">
      <w:pPr>
        <w:pStyle w:val="BodyText"/>
        <w:numPr>
          <w:ilvl w:val="0"/>
          <w:numId w:val="39"/>
        </w:numPr>
        <w:spacing w:before="87" w:line="340" w:lineRule="auto"/>
        <w:ind w:left="360"/>
        <w:jc w:val="both"/>
        <w:rPr>
          <w:bCs/>
          <w:color w:val="221F1F"/>
        </w:rPr>
      </w:pPr>
      <w:r w:rsidRPr="00542DD0">
        <w:rPr>
          <w:bCs/>
          <w:color w:val="221F1F"/>
        </w:rPr>
        <w:t>Kearns GL, Abdel-</w:t>
      </w:r>
      <w:proofErr w:type="spellStart"/>
      <w:r w:rsidRPr="00542DD0">
        <w:rPr>
          <w:bCs/>
          <w:color w:val="221F1F"/>
        </w:rPr>
        <w:t>Rahman</w:t>
      </w:r>
      <w:proofErr w:type="spellEnd"/>
      <w:r w:rsidRPr="00542DD0">
        <w:rPr>
          <w:bCs/>
          <w:color w:val="221F1F"/>
        </w:rPr>
        <w:t xml:space="preserve"> SM, </w:t>
      </w:r>
      <w:proofErr w:type="spellStart"/>
      <w:r w:rsidRPr="00542DD0">
        <w:rPr>
          <w:bCs/>
          <w:color w:val="221F1F"/>
        </w:rPr>
        <w:t>Alander</w:t>
      </w:r>
      <w:proofErr w:type="spellEnd"/>
      <w:r w:rsidRPr="00542DD0">
        <w:rPr>
          <w:bCs/>
          <w:color w:val="221F1F"/>
        </w:rPr>
        <w:t xml:space="preserve"> SW, </w:t>
      </w:r>
      <w:proofErr w:type="spellStart"/>
      <w:r w:rsidRPr="00542DD0">
        <w:rPr>
          <w:bCs/>
          <w:color w:val="221F1F"/>
        </w:rPr>
        <w:t>Blowey</w:t>
      </w:r>
      <w:proofErr w:type="spellEnd"/>
      <w:r w:rsidRPr="00542DD0">
        <w:rPr>
          <w:bCs/>
          <w:color w:val="221F1F"/>
        </w:rPr>
        <w:t xml:space="preserve"> DL, </w:t>
      </w:r>
      <w:proofErr w:type="spellStart"/>
      <w:r w:rsidRPr="00542DD0">
        <w:rPr>
          <w:bCs/>
          <w:color w:val="221F1F"/>
        </w:rPr>
        <w:t>Leeder</w:t>
      </w:r>
      <w:proofErr w:type="spellEnd"/>
      <w:r w:rsidRPr="00542DD0">
        <w:rPr>
          <w:bCs/>
          <w:color w:val="221F1F"/>
        </w:rPr>
        <w:t xml:space="preserve"> JS, Kauffman RE. Developmental pharmacology--drug disposition, action, and therapy in infants and children. N </w:t>
      </w:r>
      <w:proofErr w:type="spellStart"/>
      <w:r w:rsidRPr="00542DD0">
        <w:rPr>
          <w:bCs/>
          <w:color w:val="221F1F"/>
        </w:rPr>
        <w:t>Engl</w:t>
      </w:r>
      <w:proofErr w:type="spellEnd"/>
      <w:r w:rsidRPr="00542DD0">
        <w:rPr>
          <w:bCs/>
          <w:color w:val="221F1F"/>
        </w:rPr>
        <w:t xml:space="preserve"> J Med 2003</w:t>
      </w:r>
      <w:proofErr w:type="gramStart"/>
      <w:r w:rsidRPr="00542DD0">
        <w:rPr>
          <w:bCs/>
          <w:color w:val="221F1F"/>
        </w:rPr>
        <w:t>;349:1157</w:t>
      </w:r>
      <w:proofErr w:type="gramEnd"/>
      <w:r w:rsidRPr="00542DD0">
        <w:rPr>
          <w:bCs/>
          <w:color w:val="221F1F"/>
        </w:rPr>
        <w:t>-67.</w:t>
      </w:r>
    </w:p>
    <w:p w:rsidR="00AF4003" w:rsidRDefault="00AF4003" w:rsidP="00AF4003">
      <w:pPr>
        <w:pStyle w:val="BodyText"/>
        <w:numPr>
          <w:ilvl w:val="0"/>
          <w:numId w:val="39"/>
        </w:numPr>
        <w:spacing w:before="87" w:line="340" w:lineRule="auto"/>
        <w:ind w:left="360"/>
        <w:jc w:val="both"/>
        <w:rPr>
          <w:bCs/>
          <w:color w:val="221F1F"/>
        </w:rPr>
      </w:pPr>
      <w:proofErr w:type="spellStart"/>
      <w:r w:rsidRPr="00AF4003">
        <w:rPr>
          <w:bCs/>
          <w:color w:val="221F1F"/>
        </w:rPr>
        <w:t>Kohli</w:t>
      </w:r>
      <w:proofErr w:type="spellEnd"/>
      <w:r w:rsidRPr="00AF4003">
        <w:rPr>
          <w:bCs/>
          <w:color w:val="221F1F"/>
        </w:rPr>
        <w:t xml:space="preserve">, U., et al., Profile of childhood poisoning at a tertiary care </w:t>
      </w:r>
      <w:proofErr w:type="spellStart"/>
      <w:r w:rsidRPr="00AF4003">
        <w:rPr>
          <w:bCs/>
          <w:color w:val="221F1F"/>
        </w:rPr>
        <w:t>centre</w:t>
      </w:r>
      <w:proofErr w:type="spellEnd"/>
      <w:r w:rsidRPr="00AF4003">
        <w:rPr>
          <w:bCs/>
          <w:color w:val="221F1F"/>
        </w:rPr>
        <w:t xml:space="preserve"> in North India. Indian J </w:t>
      </w:r>
      <w:proofErr w:type="spellStart"/>
      <w:r w:rsidRPr="00AF4003">
        <w:rPr>
          <w:bCs/>
          <w:color w:val="221F1F"/>
        </w:rPr>
        <w:t>Pediatr</w:t>
      </w:r>
      <w:proofErr w:type="spellEnd"/>
      <w:r w:rsidRPr="00AF4003">
        <w:rPr>
          <w:bCs/>
          <w:color w:val="221F1F"/>
        </w:rPr>
        <w:t>, 2008. 75(8): p. 791-4.</w:t>
      </w:r>
      <w:r w:rsidRPr="00AF4003">
        <w:rPr>
          <w:bCs/>
          <w:color w:val="221F1F"/>
        </w:rPr>
        <w:cr/>
        <w:t xml:space="preserve">Khan, N.U., et al., Trends of acute poisoning: 22 </w:t>
      </w:r>
      <w:proofErr w:type="spellStart"/>
      <w:r w:rsidRPr="00AF4003">
        <w:rPr>
          <w:bCs/>
          <w:color w:val="221F1F"/>
        </w:rPr>
        <w:t>years experience</w:t>
      </w:r>
      <w:proofErr w:type="spellEnd"/>
      <w:r w:rsidRPr="00AF4003">
        <w:rPr>
          <w:bCs/>
          <w:color w:val="221F1F"/>
        </w:rPr>
        <w:t xml:space="preserve"> from a tertiary care hospital in Karachi, Pakistan. Journal of the Pakistan Medical Association, 2016. 66(10): p. 1237.</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Koren</w:t>
      </w:r>
      <w:proofErr w:type="spellEnd"/>
      <w:r w:rsidRPr="00101F43">
        <w:rPr>
          <w:bCs/>
          <w:color w:val="221F1F"/>
        </w:rPr>
        <w:t xml:space="preserve"> G. Medications which can kill a toddler with one tablet or teaspoonful. J </w:t>
      </w:r>
      <w:proofErr w:type="spellStart"/>
      <w:r w:rsidRPr="00101F43">
        <w:rPr>
          <w:bCs/>
          <w:color w:val="221F1F"/>
        </w:rPr>
        <w:t>Toxicol</w:t>
      </w:r>
      <w:proofErr w:type="spellEnd"/>
      <w:r w:rsidRPr="00101F43">
        <w:rPr>
          <w:bCs/>
          <w:color w:val="221F1F"/>
        </w:rPr>
        <w:t xml:space="preserve"> </w:t>
      </w:r>
      <w:proofErr w:type="spellStart"/>
      <w:r w:rsidRPr="00101F43">
        <w:rPr>
          <w:bCs/>
          <w:color w:val="221F1F"/>
        </w:rPr>
        <w:t>Clin</w:t>
      </w:r>
      <w:proofErr w:type="spellEnd"/>
      <w:r w:rsidRPr="00101F43">
        <w:rPr>
          <w:bCs/>
          <w:color w:val="221F1F"/>
        </w:rPr>
        <w:t xml:space="preserve"> </w:t>
      </w:r>
      <w:proofErr w:type="spellStart"/>
      <w:r w:rsidRPr="00101F43">
        <w:rPr>
          <w:bCs/>
          <w:color w:val="221F1F"/>
        </w:rPr>
        <w:t>Toxicol</w:t>
      </w:r>
      <w:proofErr w:type="spellEnd"/>
      <w:r w:rsidRPr="00101F43">
        <w:rPr>
          <w:bCs/>
          <w:color w:val="221F1F"/>
        </w:rPr>
        <w:t xml:space="preserve"> 1993; 31:407.</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Kumar, S., </w:t>
      </w:r>
      <w:proofErr w:type="spellStart"/>
      <w:r w:rsidRPr="00101F43">
        <w:rPr>
          <w:bCs/>
          <w:color w:val="221F1F"/>
        </w:rPr>
        <w:t>Kavitha</w:t>
      </w:r>
      <w:proofErr w:type="spellEnd"/>
      <w:r w:rsidRPr="00101F43">
        <w:rPr>
          <w:bCs/>
          <w:color w:val="221F1F"/>
        </w:rPr>
        <w:t xml:space="preserve">, T. K., &amp; </w:t>
      </w:r>
      <w:proofErr w:type="spellStart"/>
      <w:r w:rsidRPr="00101F43">
        <w:rPr>
          <w:bCs/>
          <w:color w:val="221F1F"/>
        </w:rPr>
        <w:t>Angurana</w:t>
      </w:r>
      <w:proofErr w:type="spellEnd"/>
      <w:r w:rsidRPr="00101F43">
        <w:rPr>
          <w:bCs/>
          <w:color w:val="221F1F"/>
        </w:rPr>
        <w:t xml:space="preserve">, S. K. (2019). Kerosene, Camphor, and Naphthalene Poisoning in Children. Indian journal of critical care </w:t>
      </w:r>
      <w:proofErr w:type="gramStart"/>
      <w:r w:rsidRPr="00101F43">
        <w:rPr>
          <w:bCs/>
          <w:color w:val="221F1F"/>
        </w:rPr>
        <w:t>medicine :</w:t>
      </w:r>
      <w:proofErr w:type="gramEnd"/>
      <w:r w:rsidRPr="00101F43">
        <w:rPr>
          <w:bCs/>
          <w:color w:val="221F1F"/>
        </w:rPr>
        <w:t xml:space="preserve"> </w:t>
      </w:r>
      <w:r w:rsidRPr="00101F43">
        <w:rPr>
          <w:bCs/>
          <w:color w:val="221F1F"/>
        </w:rPr>
        <w:lastRenderedPageBreak/>
        <w:t>peer-reviewed, official publication of Indian Society of Critical Care Medicine, 23(</w:t>
      </w:r>
      <w:proofErr w:type="spellStart"/>
      <w:r w:rsidRPr="00101F43">
        <w:rPr>
          <w:bCs/>
          <w:color w:val="221F1F"/>
        </w:rPr>
        <w:t>Suppl</w:t>
      </w:r>
      <w:proofErr w:type="spellEnd"/>
      <w:r w:rsidRPr="00101F43">
        <w:rPr>
          <w:bCs/>
          <w:color w:val="221F1F"/>
        </w:rPr>
        <w:t xml:space="preserve"> 4), S278–S281. </w:t>
      </w:r>
      <w:hyperlink r:id="rId47" w:history="1">
        <w:r w:rsidRPr="00101F43">
          <w:rPr>
            <w:color w:val="221F1F"/>
          </w:rPr>
          <w:t>https://doi.org/10.5005/jp-journals-10071-23316</w:t>
        </w:r>
      </w:hyperlink>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Lam, N. L., Smith, K. R., Gauthier, A., &amp; Bates, M. N. (2012). Kerosene: a review of household uses and their hazards in low- and middle-income countries. Journal of toxicology and environmental health. Part B, Critical reviews, 15(6), 396–432. </w:t>
      </w:r>
      <w:hyperlink r:id="rId48" w:history="1">
        <w:r w:rsidRPr="00101F43">
          <w:rPr>
            <w:color w:val="221F1F"/>
          </w:rPr>
          <w:t>https://doi.org/10.1080/10937404.2012.710134</w:t>
        </w:r>
      </w:hyperlink>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Lee H.L, Lin H.J, </w:t>
      </w:r>
      <w:proofErr w:type="spellStart"/>
      <w:r w:rsidRPr="00101F43">
        <w:rPr>
          <w:bCs/>
          <w:color w:val="221F1F"/>
        </w:rPr>
        <w:t>Yeh</w:t>
      </w:r>
      <w:proofErr w:type="spellEnd"/>
      <w:r w:rsidRPr="00101F43">
        <w:rPr>
          <w:bCs/>
          <w:color w:val="221F1F"/>
        </w:rPr>
        <w:t xml:space="preserve"> S.Y, Chi C.H, </w:t>
      </w:r>
      <w:proofErr w:type="spellStart"/>
      <w:r w:rsidRPr="00101F43">
        <w:rPr>
          <w:bCs/>
          <w:color w:val="221F1F"/>
        </w:rPr>
        <w:t>Guo</w:t>
      </w:r>
      <w:proofErr w:type="spellEnd"/>
      <w:r w:rsidRPr="00101F43">
        <w:rPr>
          <w:bCs/>
          <w:color w:val="221F1F"/>
        </w:rPr>
        <w:t xml:space="preserve"> H.R. Etiology and outcome of patients presenting for poisoning to the emergency department in Taiwan: a prospective study. Hum </w:t>
      </w:r>
      <w:proofErr w:type="spellStart"/>
      <w:r w:rsidRPr="00101F43">
        <w:rPr>
          <w:bCs/>
          <w:color w:val="221F1F"/>
        </w:rPr>
        <w:t>Exp</w:t>
      </w:r>
      <w:proofErr w:type="spellEnd"/>
      <w:r w:rsidRPr="00101F43">
        <w:rPr>
          <w:bCs/>
          <w:color w:val="221F1F"/>
        </w:rPr>
        <w:t xml:space="preserve"> </w:t>
      </w:r>
      <w:proofErr w:type="spellStart"/>
      <w:r w:rsidRPr="00101F43">
        <w:rPr>
          <w:bCs/>
          <w:color w:val="221F1F"/>
        </w:rPr>
        <w:t>Toxicol</w:t>
      </w:r>
      <w:proofErr w:type="spellEnd"/>
      <w:r w:rsidRPr="00101F43">
        <w:rPr>
          <w:bCs/>
          <w:color w:val="221F1F"/>
        </w:rPr>
        <w:t>. 2008; 27: 373-379</w:t>
      </w:r>
    </w:p>
    <w:p w:rsidR="00AF4003" w:rsidRDefault="00AF4003" w:rsidP="00AF4003">
      <w:pPr>
        <w:pStyle w:val="BodyText"/>
        <w:numPr>
          <w:ilvl w:val="0"/>
          <w:numId w:val="39"/>
        </w:numPr>
        <w:spacing w:before="87" w:line="340" w:lineRule="auto"/>
        <w:ind w:left="360"/>
        <w:jc w:val="both"/>
        <w:rPr>
          <w:bCs/>
          <w:color w:val="221F1F"/>
        </w:rPr>
      </w:pPr>
      <w:r w:rsidRPr="00AF4003">
        <w:rPr>
          <w:bCs/>
          <w:color w:val="221F1F"/>
        </w:rPr>
        <w:t>Lee, J., et al., Clinical spectrum of acute poisoning in children admitted to the pediatric emergency department. Pediatrics &amp; Neonatology, 2019. 60(1): p. 59-67.</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Liebelt</w:t>
      </w:r>
      <w:proofErr w:type="spellEnd"/>
      <w:r w:rsidRPr="00101F43">
        <w:rPr>
          <w:bCs/>
          <w:color w:val="221F1F"/>
        </w:rPr>
        <w:t xml:space="preserve"> E L, Shannon M W. Small doses, big problems: a selected review of highly toxic common medications. </w:t>
      </w:r>
      <w:proofErr w:type="spellStart"/>
      <w:r w:rsidRPr="00101F43">
        <w:rPr>
          <w:bCs/>
          <w:color w:val="221F1F"/>
        </w:rPr>
        <w:t>Pediatr</w:t>
      </w:r>
      <w:proofErr w:type="spellEnd"/>
      <w:r w:rsidRPr="00101F43">
        <w:rPr>
          <w:bCs/>
          <w:color w:val="221F1F"/>
        </w:rPr>
        <w:t xml:space="preserve"> </w:t>
      </w:r>
      <w:proofErr w:type="spellStart"/>
      <w:r w:rsidRPr="00101F43">
        <w:rPr>
          <w:bCs/>
          <w:color w:val="221F1F"/>
        </w:rPr>
        <w:t>Emerg</w:t>
      </w:r>
      <w:proofErr w:type="spellEnd"/>
      <w:r w:rsidRPr="00101F43">
        <w:rPr>
          <w:bCs/>
          <w:color w:val="221F1F"/>
        </w:rPr>
        <w:t xml:space="preserve"> Care. 1993</w:t>
      </w:r>
      <w:proofErr w:type="gramStart"/>
      <w:r w:rsidRPr="00101F43">
        <w:rPr>
          <w:bCs/>
          <w:color w:val="221F1F"/>
        </w:rPr>
        <w:t>;9</w:t>
      </w:r>
      <w:proofErr w:type="gramEnd"/>
      <w:r w:rsidRPr="00101F43">
        <w:rPr>
          <w:bCs/>
          <w:color w:val="221F1F"/>
        </w:rPr>
        <w:t>(5):292–297.</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Liebelt</w:t>
      </w:r>
      <w:proofErr w:type="spellEnd"/>
      <w:r w:rsidRPr="00101F43">
        <w:rPr>
          <w:bCs/>
          <w:color w:val="221F1F"/>
        </w:rPr>
        <w:t xml:space="preserve"> EL, Shannon MW. Small doses, big problems: A selected review of highly toxic common medications. </w:t>
      </w:r>
      <w:proofErr w:type="spellStart"/>
      <w:r w:rsidRPr="00101F43">
        <w:rPr>
          <w:bCs/>
          <w:color w:val="221F1F"/>
        </w:rPr>
        <w:t>Pediatr</w:t>
      </w:r>
      <w:proofErr w:type="spellEnd"/>
      <w:r w:rsidRPr="00101F43">
        <w:rPr>
          <w:bCs/>
          <w:color w:val="221F1F"/>
        </w:rPr>
        <w:t xml:space="preserve"> </w:t>
      </w:r>
      <w:proofErr w:type="spellStart"/>
      <w:r w:rsidRPr="00101F43">
        <w:rPr>
          <w:bCs/>
          <w:color w:val="221F1F"/>
        </w:rPr>
        <w:t>Emerg</w:t>
      </w:r>
      <w:proofErr w:type="spellEnd"/>
      <w:r w:rsidRPr="00101F43">
        <w:rPr>
          <w:bCs/>
          <w:color w:val="221F1F"/>
        </w:rPr>
        <w:t xml:space="preserve"> Care 1993; 9:292.</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Lin Y.R, Wu T.K, Liu T.A, Chou C.C, Wu H.P. Poison exposure and outcome of children admitted to a pediatric emergency department. World J </w:t>
      </w:r>
      <w:proofErr w:type="spellStart"/>
      <w:r w:rsidRPr="00101F43">
        <w:rPr>
          <w:bCs/>
          <w:color w:val="221F1F"/>
        </w:rPr>
        <w:t>Pediatr</w:t>
      </w:r>
      <w:proofErr w:type="spellEnd"/>
      <w:r w:rsidRPr="00101F43">
        <w:rPr>
          <w:bCs/>
          <w:color w:val="221F1F"/>
        </w:rPr>
        <w:t>. 2011; 7: 143-149</w:t>
      </w:r>
    </w:p>
    <w:p w:rsidR="00AF4003" w:rsidRDefault="00AF4003" w:rsidP="00AF4003">
      <w:pPr>
        <w:pStyle w:val="BodyText"/>
        <w:numPr>
          <w:ilvl w:val="0"/>
          <w:numId w:val="39"/>
        </w:numPr>
        <w:spacing w:before="87" w:line="340" w:lineRule="auto"/>
        <w:ind w:left="360"/>
        <w:jc w:val="both"/>
        <w:rPr>
          <w:bCs/>
          <w:color w:val="221F1F"/>
        </w:rPr>
      </w:pPr>
      <w:r w:rsidRPr="00AF4003">
        <w:rPr>
          <w:bCs/>
          <w:color w:val="221F1F"/>
        </w:rPr>
        <w:t xml:space="preserve">Lin, Y.R., et al., Poison exposure and outcome of children admitted to a pediatric emergency department. World J </w:t>
      </w:r>
      <w:proofErr w:type="spellStart"/>
      <w:r w:rsidRPr="00AF4003">
        <w:rPr>
          <w:bCs/>
          <w:color w:val="221F1F"/>
        </w:rPr>
        <w:t>Pediatr</w:t>
      </w:r>
      <w:proofErr w:type="spellEnd"/>
      <w:r w:rsidRPr="00AF4003">
        <w:rPr>
          <w:bCs/>
          <w:color w:val="221F1F"/>
        </w:rPr>
        <w:t>, 2011. 7(2): p. 143-9.</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Litovitz</w:t>
      </w:r>
      <w:proofErr w:type="spellEnd"/>
      <w:r w:rsidRPr="00101F43">
        <w:rPr>
          <w:bCs/>
          <w:color w:val="221F1F"/>
        </w:rPr>
        <w:t xml:space="preserve"> T, </w:t>
      </w:r>
      <w:proofErr w:type="spellStart"/>
      <w:r w:rsidRPr="00101F43">
        <w:rPr>
          <w:bCs/>
          <w:color w:val="221F1F"/>
        </w:rPr>
        <w:t>Manoguerra</w:t>
      </w:r>
      <w:proofErr w:type="spellEnd"/>
      <w:r w:rsidRPr="00101F43">
        <w:rPr>
          <w:bCs/>
          <w:color w:val="221F1F"/>
        </w:rPr>
        <w:t xml:space="preserve"> A. Comparison of pediatric poisoning hazards: an analysis of 3.8million exposure incidents. A report from the American Association of Poison Control Centers. Pediatrics 1992; 89:999.</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Litovitz</w:t>
      </w:r>
      <w:proofErr w:type="spellEnd"/>
      <w:r w:rsidRPr="00101F43">
        <w:rPr>
          <w:bCs/>
          <w:color w:val="221F1F"/>
        </w:rPr>
        <w:t xml:space="preserve"> T, Whitaker N, Clark L. Preventing battery ingestions: An analysis of 8648 cases. Pediatrics 2010; 125:1178</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lastRenderedPageBreak/>
        <w:t>Lovegrove</w:t>
      </w:r>
      <w:proofErr w:type="spellEnd"/>
      <w:r w:rsidRPr="00101F43">
        <w:rPr>
          <w:bCs/>
          <w:color w:val="221F1F"/>
        </w:rPr>
        <w:t xml:space="preserve"> MC, </w:t>
      </w:r>
      <w:proofErr w:type="spellStart"/>
      <w:r w:rsidRPr="00101F43">
        <w:rPr>
          <w:bCs/>
          <w:color w:val="221F1F"/>
        </w:rPr>
        <w:t>Weidle</w:t>
      </w:r>
      <w:proofErr w:type="spellEnd"/>
      <w:r w:rsidRPr="00101F43">
        <w:rPr>
          <w:bCs/>
          <w:color w:val="221F1F"/>
        </w:rPr>
        <w:t xml:space="preserve"> NJ, </w:t>
      </w:r>
      <w:proofErr w:type="spellStart"/>
      <w:r w:rsidRPr="00101F43">
        <w:rPr>
          <w:bCs/>
          <w:color w:val="221F1F"/>
        </w:rPr>
        <w:t>Budnitz</w:t>
      </w:r>
      <w:proofErr w:type="spellEnd"/>
      <w:r w:rsidRPr="00101F43">
        <w:rPr>
          <w:bCs/>
          <w:color w:val="221F1F"/>
        </w:rPr>
        <w:t xml:space="preserve"> DS. Trends in Emergency Department Visits for Unsupervised Pediatric Medication Exposures, 2004-2013. Pediatrics 2015; 136:e821.</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Lovegrove</w:t>
      </w:r>
      <w:proofErr w:type="spellEnd"/>
      <w:r w:rsidRPr="00101F43">
        <w:rPr>
          <w:bCs/>
          <w:color w:val="221F1F"/>
        </w:rPr>
        <w:t xml:space="preserve">, M. C., Mathew, J., </w:t>
      </w:r>
      <w:proofErr w:type="spellStart"/>
      <w:r w:rsidRPr="00101F43">
        <w:rPr>
          <w:bCs/>
          <w:color w:val="221F1F"/>
        </w:rPr>
        <w:t>Hampp</w:t>
      </w:r>
      <w:proofErr w:type="spellEnd"/>
      <w:r w:rsidRPr="00101F43">
        <w:rPr>
          <w:bCs/>
          <w:color w:val="221F1F"/>
        </w:rPr>
        <w:t xml:space="preserve">, C., </w:t>
      </w:r>
      <w:proofErr w:type="spellStart"/>
      <w:r w:rsidRPr="00101F43">
        <w:rPr>
          <w:bCs/>
          <w:color w:val="221F1F"/>
        </w:rPr>
        <w:t>Governale</w:t>
      </w:r>
      <w:proofErr w:type="spellEnd"/>
      <w:r w:rsidRPr="00101F43">
        <w:rPr>
          <w:bCs/>
          <w:color w:val="221F1F"/>
        </w:rPr>
        <w:t xml:space="preserve">, L., </w:t>
      </w:r>
      <w:proofErr w:type="spellStart"/>
      <w:r w:rsidRPr="00101F43">
        <w:rPr>
          <w:bCs/>
          <w:color w:val="221F1F"/>
        </w:rPr>
        <w:t>Wysowski</w:t>
      </w:r>
      <w:proofErr w:type="spellEnd"/>
      <w:r w:rsidRPr="00101F43">
        <w:rPr>
          <w:bCs/>
          <w:color w:val="221F1F"/>
        </w:rPr>
        <w:t xml:space="preserve">, D. K., &amp; </w:t>
      </w:r>
      <w:proofErr w:type="spellStart"/>
      <w:r w:rsidRPr="00101F43">
        <w:rPr>
          <w:bCs/>
          <w:color w:val="221F1F"/>
        </w:rPr>
        <w:t>Budnitz</w:t>
      </w:r>
      <w:proofErr w:type="spellEnd"/>
      <w:r w:rsidRPr="00101F43">
        <w:rPr>
          <w:bCs/>
          <w:color w:val="221F1F"/>
        </w:rPr>
        <w:t xml:space="preserve">, D. S. (2014). Emergency hospitalizations for unsupervised prescription medication ingestions by young children. Pediatrics, 134(4), e1009–e1016. </w:t>
      </w:r>
      <w:hyperlink r:id="rId49" w:history="1">
        <w:r w:rsidRPr="00101F43">
          <w:rPr>
            <w:color w:val="221F1F"/>
          </w:rPr>
          <w:t>https://doi.org/10.1542/peds.2014-0840</w:t>
        </w:r>
      </w:hyperlink>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C75839">
        <w:rPr>
          <w:bCs/>
          <w:color w:val="221F1F"/>
        </w:rPr>
        <w:t>Mangoni</w:t>
      </w:r>
      <w:proofErr w:type="spellEnd"/>
      <w:r w:rsidRPr="00C75839">
        <w:rPr>
          <w:bCs/>
          <w:color w:val="221F1F"/>
        </w:rPr>
        <w:t xml:space="preserve"> AA, Jackson SH. Age-related changes in pharmacokinetics and pharmacodynamics: basic principles and practical applications. Br J </w:t>
      </w:r>
      <w:proofErr w:type="spellStart"/>
      <w:r w:rsidRPr="00C75839">
        <w:rPr>
          <w:bCs/>
          <w:color w:val="221F1F"/>
        </w:rPr>
        <w:t>Clin</w:t>
      </w:r>
      <w:proofErr w:type="spellEnd"/>
      <w:r w:rsidRPr="00C75839">
        <w:rPr>
          <w:bCs/>
          <w:color w:val="221F1F"/>
        </w:rPr>
        <w:t xml:space="preserve"> </w:t>
      </w:r>
      <w:proofErr w:type="spellStart"/>
      <w:r w:rsidRPr="00C75839">
        <w:rPr>
          <w:bCs/>
          <w:color w:val="221F1F"/>
        </w:rPr>
        <w:t>Pharmacol</w:t>
      </w:r>
      <w:proofErr w:type="spellEnd"/>
      <w:r w:rsidRPr="00C75839">
        <w:rPr>
          <w:bCs/>
          <w:color w:val="221F1F"/>
        </w:rPr>
        <w:t>. 2004 Jan</w:t>
      </w:r>
      <w:proofErr w:type="gramStart"/>
      <w:r w:rsidRPr="00C75839">
        <w:rPr>
          <w:bCs/>
          <w:color w:val="221F1F"/>
        </w:rPr>
        <w:t>;57</w:t>
      </w:r>
      <w:proofErr w:type="gramEnd"/>
      <w:r w:rsidRPr="00C75839">
        <w:rPr>
          <w:bCs/>
          <w:color w:val="221F1F"/>
        </w:rPr>
        <w:t>(1):6-14.</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Mazer-Amirshahi</w:t>
      </w:r>
      <w:proofErr w:type="spellEnd"/>
      <w:r w:rsidRPr="00101F43">
        <w:rPr>
          <w:bCs/>
          <w:color w:val="221F1F"/>
        </w:rPr>
        <w:t xml:space="preserve"> M, Reid N, van den Anker J, </w:t>
      </w:r>
      <w:proofErr w:type="spellStart"/>
      <w:r w:rsidRPr="00101F43">
        <w:rPr>
          <w:bCs/>
          <w:color w:val="221F1F"/>
        </w:rPr>
        <w:t>Litovitz</w:t>
      </w:r>
      <w:proofErr w:type="spellEnd"/>
      <w:r w:rsidRPr="00101F43">
        <w:rPr>
          <w:bCs/>
          <w:color w:val="221F1F"/>
        </w:rPr>
        <w:t xml:space="preserve"> T. Effect of cough and cold medication restriction and label changes on pediatric ingestions reported to United States poison centers. J </w:t>
      </w:r>
      <w:proofErr w:type="spellStart"/>
      <w:r w:rsidRPr="00101F43">
        <w:rPr>
          <w:bCs/>
          <w:color w:val="221F1F"/>
        </w:rPr>
        <w:t>Pediatr</w:t>
      </w:r>
      <w:proofErr w:type="spellEnd"/>
      <w:r w:rsidRPr="00101F43">
        <w:rPr>
          <w:bCs/>
          <w:color w:val="221F1F"/>
        </w:rPr>
        <w:t xml:space="preserve"> 2013; 163:1372.</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Michael JB, </w:t>
      </w:r>
      <w:proofErr w:type="spellStart"/>
      <w:r w:rsidRPr="00101F43">
        <w:rPr>
          <w:bCs/>
          <w:color w:val="221F1F"/>
        </w:rPr>
        <w:t>Sztajnkrycer</w:t>
      </w:r>
      <w:proofErr w:type="spellEnd"/>
      <w:r w:rsidRPr="00101F43">
        <w:rPr>
          <w:bCs/>
          <w:color w:val="221F1F"/>
        </w:rPr>
        <w:t xml:space="preserve"> MD. Deadly pediatric poisons: nine common agents that kill at low doses. </w:t>
      </w:r>
      <w:proofErr w:type="spellStart"/>
      <w:r w:rsidRPr="00101F43">
        <w:rPr>
          <w:bCs/>
          <w:color w:val="221F1F"/>
        </w:rPr>
        <w:t>Emerg</w:t>
      </w:r>
      <w:proofErr w:type="spellEnd"/>
      <w:r w:rsidRPr="00101F43">
        <w:rPr>
          <w:bCs/>
          <w:color w:val="221F1F"/>
        </w:rPr>
        <w:t xml:space="preserve"> Med </w:t>
      </w:r>
      <w:proofErr w:type="spellStart"/>
      <w:r w:rsidRPr="00101F43">
        <w:rPr>
          <w:bCs/>
          <w:color w:val="221F1F"/>
        </w:rPr>
        <w:t>Clin</w:t>
      </w:r>
      <w:proofErr w:type="spellEnd"/>
      <w:r w:rsidRPr="00101F43">
        <w:rPr>
          <w:bCs/>
          <w:color w:val="221F1F"/>
        </w:rPr>
        <w:t xml:space="preserve"> N Am 2004</w:t>
      </w:r>
      <w:proofErr w:type="gramStart"/>
      <w:r w:rsidRPr="00101F43">
        <w:rPr>
          <w:bCs/>
          <w:color w:val="221F1F"/>
        </w:rPr>
        <w:t>;22:1019</w:t>
      </w:r>
      <w:proofErr w:type="gramEnd"/>
      <w:r w:rsidRPr="00101F43">
        <w:rPr>
          <w:bCs/>
          <w:color w:val="221F1F"/>
        </w:rPr>
        <w:t xml:space="preserve"> – 50.</w:t>
      </w:r>
    </w:p>
    <w:p w:rsidR="00AF4003" w:rsidRPr="00AF4003" w:rsidRDefault="00AF4003" w:rsidP="00AF4003">
      <w:pPr>
        <w:pStyle w:val="BodyText"/>
        <w:numPr>
          <w:ilvl w:val="0"/>
          <w:numId w:val="39"/>
        </w:numPr>
        <w:spacing w:before="87" w:line="340" w:lineRule="auto"/>
        <w:ind w:left="360"/>
        <w:jc w:val="both"/>
        <w:rPr>
          <w:bCs/>
          <w:color w:val="221F1F"/>
        </w:rPr>
      </w:pPr>
      <w:proofErr w:type="spellStart"/>
      <w:r w:rsidRPr="00AF4003">
        <w:rPr>
          <w:bCs/>
          <w:color w:val="221F1F"/>
        </w:rPr>
        <w:t>Molla</w:t>
      </w:r>
      <w:proofErr w:type="spellEnd"/>
      <w:r w:rsidRPr="00AF4003">
        <w:rPr>
          <w:bCs/>
          <w:color w:val="221F1F"/>
        </w:rPr>
        <w:t xml:space="preserve">, Y.M., et al., Acute poisoning in children in Ethiopia: a cross-sectional study. </w:t>
      </w:r>
      <w:proofErr w:type="spellStart"/>
      <w:r w:rsidRPr="00AF4003">
        <w:rPr>
          <w:bCs/>
          <w:color w:val="221F1F"/>
        </w:rPr>
        <w:t>Sci</w:t>
      </w:r>
      <w:proofErr w:type="spellEnd"/>
      <w:r w:rsidRPr="00AF4003">
        <w:rPr>
          <w:bCs/>
          <w:color w:val="221F1F"/>
        </w:rPr>
        <w:t xml:space="preserve"> Rep, 2022. 12(1): p. 18750.</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Mowry</w:t>
      </w:r>
      <w:proofErr w:type="spellEnd"/>
      <w:r w:rsidRPr="00101F43">
        <w:rPr>
          <w:bCs/>
          <w:color w:val="221F1F"/>
        </w:rPr>
        <w:t xml:space="preserve"> J B, </w:t>
      </w:r>
      <w:proofErr w:type="spellStart"/>
      <w:r w:rsidRPr="00101F43">
        <w:rPr>
          <w:bCs/>
          <w:color w:val="221F1F"/>
        </w:rPr>
        <w:t>Spyker</w:t>
      </w:r>
      <w:proofErr w:type="spellEnd"/>
      <w:r w:rsidRPr="00101F43">
        <w:rPr>
          <w:bCs/>
          <w:color w:val="221F1F"/>
        </w:rPr>
        <w:t xml:space="preserve"> D A, Cantilena L R </w:t>
      </w:r>
      <w:proofErr w:type="spellStart"/>
      <w:r w:rsidRPr="00101F43">
        <w:rPr>
          <w:bCs/>
          <w:color w:val="221F1F"/>
        </w:rPr>
        <w:t>Jr</w:t>
      </w:r>
      <w:proofErr w:type="spellEnd"/>
      <w:r w:rsidRPr="00101F43">
        <w:rPr>
          <w:bCs/>
          <w:color w:val="221F1F"/>
        </w:rPr>
        <w:t xml:space="preserve">, Bailey J E, Ford M. 2012 Annual Report of the American Association of Poison Control Centers' National Poison Data System (NPDS): 30th Annual Report. </w:t>
      </w:r>
      <w:proofErr w:type="spellStart"/>
      <w:r w:rsidRPr="00101F43">
        <w:rPr>
          <w:bCs/>
          <w:color w:val="221F1F"/>
        </w:rPr>
        <w:t>Clin</w:t>
      </w:r>
      <w:proofErr w:type="spellEnd"/>
      <w:r w:rsidRPr="00101F43">
        <w:rPr>
          <w:bCs/>
          <w:color w:val="221F1F"/>
        </w:rPr>
        <w:t xml:space="preserve"> </w:t>
      </w:r>
      <w:proofErr w:type="spellStart"/>
      <w:r w:rsidRPr="00101F43">
        <w:rPr>
          <w:bCs/>
          <w:color w:val="221F1F"/>
        </w:rPr>
        <w:t>Toxicol</w:t>
      </w:r>
      <w:proofErr w:type="spellEnd"/>
      <w:r w:rsidRPr="00101F43">
        <w:rPr>
          <w:bCs/>
          <w:color w:val="221F1F"/>
        </w:rPr>
        <w:t xml:space="preserve"> (</w:t>
      </w:r>
      <w:proofErr w:type="spellStart"/>
      <w:r w:rsidRPr="00101F43">
        <w:rPr>
          <w:bCs/>
          <w:color w:val="221F1F"/>
        </w:rPr>
        <w:t>Phila</w:t>
      </w:r>
      <w:proofErr w:type="spellEnd"/>
      <w:r w:rsidRPr="00101F43">
        <w:rPr>
          <w:bCs/>
          <w:color w:val="221F1F"/>
        </w:rPr>
        <w:t>) 2013</w:t>
      </w:r>
      <w:proofErr w:type="gramStart"/>
      <w:r w:rsidRPr="00101F43">
        <w:rPr>
          <w:bCs/>
          <w:color w:val="221F1F"/>
        </w:rPr>
        <w:t>;51</w:t>
      </w:r>
      <w:proofErr w:type="gramEnd"/>
      <w:r w:rsidRPr="00101F43">
        <w:rPr>
          <w:bCs/>
          <w:color w:val="221F1F"/>
        </w:rPr>
        <w:t>(10):949–1229.</w:t>
      </w:r>
    </w:p>
    <w:p w:rsidR="00AF4003" w:rsidRDefault="00AF4003" w:rsidP="00AF4003">
      <w:pPr>
        <w:pStyle w:val="BodyText"/>
        <w:numPr>
          <w:ilvl w:val="0"/>
          <w:numId w:val="39"/>
        </w:numPr>
        <w:spacing w:before="87" w:line="340" w:lineRule="auto"/>
        <w:ind w:left="360"/>
        <w:jc w:val="both"/>
        <w:rPr>
          <w:bCs/>
          <w:color w:val="221F1F"/>
        </w:rPr>
      </w:pPr>
      <w:r w:rsidRPr="00AF4003">
        <w:rPr>
          <w:bCs/>
          <w:color w:val="221F1F"/>
        </w:rPr>
        <w:t xml:space="preserve">Mubarak, A., et al., Diagnosis, management, and prevention of button battery ingestion in childhood: a European Society for </w:t>
      </w:r>
      <w:proofErr w:type="spellStart"/>
      <w:r w:rsidRPr="00AF4003">
        <w:rPr>
          <w:bCs/>
          <w:color w:val="221F1F"/>
        </w:rPr>
        <w:t>Paediatric</w:t>
      </w:r>
      <w:proofErr w:type="spellEnd"/>
      <w:r w:rsidRPr="00AF4003">
        <w:rPr>
          <w:bCs/>
          <w:color w:val="221F1F"/>
        </w:rPr>
        <w:t xml:space="preserve"> Gastroenterology </w:t>
      </w:r>
      <w:proofErr w:type="spellStart"/>
      <w:r w:rsidRPr="00AF4003">
        <w:rPr>
          <w:bCs/>
          <w:color w:val="221F1F"/>
        </w:rPr>
        <w:t>Hepatology</w:t>
      </w:r>
      <w:proofErr w:type="spellEnd"/>
      <w:r w:rsidRPr="00AF4003">
        <w:rPr>
          <w:bCs/>
          <w:color w:val="221F1F"/>
        </w:rPr>
        <w:t xml:space="preserve"> and Nutrition position paper. Journal of pediatric gastroenterology and nutrition, 2021. 73(1): p. 129-136.</w:t>
      </w:r>
    </w:p>
    <w:p w:rsidR="00AF4003" w:rsidRDefault="00AF4003" w:rsidP="00AF4003">
      <w:pPr>
        <w:pStyle w:val="BodyText"/>
        <w:numPr>
          <w:ilvl w:val="0"/>
          <w:numId w:val="39"/>
        </w:numPr>
        <w:spacing w:before="87" w:line="340" w:lineRule="auto"/>
        <w:ind w:left="360"/>
        <w:jc w:val="both"/>
        <w:rPr>
          <w:bCs/>
          <w:color w:val="221F1F"/>
        </w:rPr>
      </w:pPr>
      <w:proofErr w:type="spellStart"/>
      <w:r w:rsidRPr="00932525">
        <w:rPr>
          <w:bCs/>
          <w:color w:val="221F1F"/>
        </w:rPr>
        <w:t>Nuutinen</w:t>
      </w:r>
      <w:proofErr w:type="spellEnd"/>
      <w:r w:rsidRPr="00932525">
        <w:rPr>
          <w:bCs/>
          <w:color w:val="221F1F"/>
        </w:rPr>
        <w:t xml:space="preserve"> M, </w:t>
      </w:r>
      <w:proofErr w:type="spellStart"/>
      <w:r w:rsidRPr="00932525">
        <w:rPr>
          <w:bCs/>
          <w:color w:val="221F1F"/>
        </w:rPr>
        <w:t>Uhari</w:t>
      </w:r>
      <w:proofErr w:type="spellEnd"/>
      <w:r w:rsidRPr="00932525">
        <w:rPr>
          <w:bCs/>
          <w:color w:val="221F1F"/>
        </w:rPr>
        <w:t xml:space="preserve"> M, </w:t>
      </w:r>
      <w:proofErr w:type="spellStart"/>
      <w:r w:rsidRPr="00932525">
        <w:rPr>
          <w:bCs/>
          <w:color w:val="221F1F"/>
        </w:rPr>
        <w:t>Karvali</w:t>
      </w:r>
      <w:proofErr w:type="spellEnd"/>
      <w:r w:rsidRPr="00932525">
        <w:rPr>
          <w:bCs/>
          <w:color w:val="221F1F"/>
        </w:rPr>
        <w:t xml:space="preserve"> T, et al. Consequences of caustic ingestions in </w:t>
      </w:r>
      <w:r w:rsidRPr="00932525">
        <w:rPr>
          <w:bCs/>
          <w:color w:val="221F1F"/>
        </w:rPr>
        <w:lastRenderedPageBreak/>
        <w:t xml:space="preserve">children. </w:t>
      </w:r>
      <w:proofErr w:type="spellStart"/>
      <w:r w:rsidRPr="00932525">
        <w:rPr>
          <w:bCs/>
          <w:color w:val="221F1F"/>
        </w:rPr>
        <w:t>Acta</w:t>
      </w:r>
      <w:proofErr w:type="spellEnd"/>
      <w:r w:rsidRPr="00932525">
        <w:rPr>
          <w:bCs/>
          <w:color w:val="221F1F"/>
        </w:rPr>
        <w:t xml:space="preserve"> Paediatr1994</w:t>
      </w:r>
      <w:proofErr w:type="gramStart"/>
      <w:r w:rsidRPr="00932525">
        <w:rPr>
          <w:bCs/>
          <w:color w:val="221F1F"/>
        </w:rPr>
        <w:t>;83:1200</w:t>
      </w:r>
      <w:proofErr w:type="gramEnd"/>
      <w:r w:rsidRPr="00932525">
        <w:rPr>
          <w:bCs/>
          <w:color w:val="221F1F"/>
        </w:rPr>
        <w:t>–5.</w:t>
      </w:r>
    </w:p>
    <w:p w:rsidR="00AF4003" w:rsidRDefault="00AF4003" w:rsidP="00AF4003">
      <w:pPr>
        <w:pStyle w:val="BodyText"/>
        <w:numPr>
          <w:ilvl w:val="0"/>
          <w:numId w:val="39"/>
        </w:numPr>
        <w:spacing w:before="87" w:line="340" w:lineRule="auto"/>
        <w:ind w:left="360"/>
        <w:jc w:val="both"/>
        <w:rPr>
          <w:bCs/>
          <w:color w:val="221F1F"/>
        </w:rPr>
      </w:pPr>
      <w:r w:rsidRPr="00101F43">
        <w:rPr>
          <w:bCs/>
          <w:color w:val="221F1F"/>
        </w:rPr>
        <w:t>O’Donnell J, Brown FD, Beattie TF. Accidental child poisoning: child resistant packaging should be used on all over the counter drugs. British Medical Journal. 1998</w:t>
      </w:r>
      <w:proofErr w:type="gramStart"/>
      <w:r w:rsidRPr="00101F43">
        <w:rPr>
          <w:bCs/>
          <w:color w:val="221F1F"/>
        </w:rPr>
        <w:t>;316:1460</w:t>
      </w:r>
      <w:proofErr w:type="gramEnd"/>
      <w:r w:rsidRPr="00101F43">
        <w:rPr>
          <w:bCs/>
          <w:color w:val="221F1F"/>
        </w:rPr>
        <w:t>–1461.</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Osterhoudt</w:t>
      </w:r>
      <w:proofErr w:type="spellEnd"/>
      <w:r w:rsidRPr="00101F43">
        <w:rPr>
          <w:bCs/>
          <w:color w:val="221F1F"/>
        </w:rPr>
        <w:t xml:space="preserve"> KC. The toxic toddler: Drugs that can kill in small doses. </w:t>
      </w:r>
      <w:proofErr w:type="spellStart"/>
      <w:r w:rsidRPr="00101F43">
        <w:rPr>
          <w:bCs/>
          <w:color w:val="221F1F"/>
        </w:rPr>
        <w:t>Contemp</w:t>
      </w:r>
      <w:proofErr w:type="spellEnd"/>
      <w:r w:rsidRPr="00101F43">
        <w:rPr>
          <w:bCs/>
          <w:color w:val="221F1F"/>
        </w:rPr>
        <w:t xml:space="preserve"> </w:t>
      </w:r>
      <w:proofErr w:type="spellStart"/>
      <w:r w:rsidRPr="00101F43">
        <w:rPr>
          <w:bCs/>
          <w:color w:val="221F1F"/>
        </w:rPr>
        <w:t>Pediatr</w:t>
      </w:r>
      <w:proofErr w:type="spellEnd"/>
      <w:r w:rsidRPr="00101F43">
        <w:rPr>
          <w:bCs/>
          <w:color w:val="221F1F"/>
        </w:rPr>
        <w:t xml:space="preserve"> 2000; 17:73.</w:t>
      </w:r>
    </w:p>
    <w:p w:rsidR="00AF4003" w:rsidRDefault="00AF4003" w:rsidP="00AF4003">
      <w:pPr>
        <w:pStyle w:val="BodyText"/>
        <w:numPr>
          <w:ilvl w:val="0"/>
          <w:numId w:val="39"/>
        </w:numPr>
        <w:spacing w:before="87" w:line="340" w:lineRule="auto"/>
        <w:ind w:left="360"/>
        <w:jc w:val="both"/>
        <w:rPr>
          <w:bCs/>
          <w:color w:val="221F1F"/>
        </w:rPr>
      </w:pPr>
      <w:proofErr w:type="spellStart"/>
      <w:r w:rsidRPr="009A5EC6">
        <w:rPr>
          <w:bCs/>
          <w:color w:val="221F1F"/>
        </w:rPr>
        <w:t>Pantaleão</w:t>
      </w:r>
      <w:proofErr w:type="spellEnd"/>
      <w:r w:rsidRPr="009A5EC6">
        <w:rPr>
          <w:bCs/>
          <w:color w:val="221F1F"/>
        </w:rPr>
        <w:t xml:space="preserve"> SQ, </w:t>
      </w:r>
      <w:proofErr w:type="spellStart"/>
      <w:r w:rsidRPr="009A5EC6">
        <w:rPr>
          <w:bCs/>
          <w:color w:val="221F1F"/>
        </w:rPr>
        <w:t>Fernandes</w:t>
      </w:r>
      <w:proofErr w:type="spellEnd"/>
      <w:r w:rsidRPr="009A5EC6">
        <w:rPr>
          <w:bCs/>
          <w:color w:val="221F1F"/>
        </w:rPr>
        <w:t xml:space="preserve"> PO, </w:t>
      </w:r>
      <w:proofErr w:type="spellStart"/>
      <w:r w:rsidRPr="009A5EC6">
        <w:rPr>
          <w:bCs/>
          <w:color w:val="221F1F"/>
        </w:rPr>
        <w:t>Gonçalves</w:t>
      </w:r>
      <w:proofErr w:type="spellEnd"/>
      <w:r w:rsidRPr="009A5EC6">
        <w:rPr>
          <w:bCs/>
          <w:color w:val="221F1F"/>
        </w:rPr>
        <w:t xml:space="preserve"> JE, </w:t>
      </w:r>
      <w:proofErr w:type="spellStart"/>
      <w:r w:rsidRPr="009A5EC6">
        <w:rPr>
          <w:bCs/>
          <w:color w:val="221F1F"/>
        </w:rPr>
        <w:t>Maltarollo</w:t>
      </w:r>
      <w:proofErr w:type="spellEnd"/>
      <w:r w:rsidRPr="009A5EC6">
        <w:rPr>
          <w:bCs/>
          <w:color w:val="221F1F"/>
        </w:rPr>
        <w:t xml:space="preserve"> VG, </w:t>
      </w:r>
      <w:proofErr w:type="spellStart"/>
      <w:r w:rsidRPr="009A5EC6">
        <w:rPr>
          <w:bCs/>
          <w:color w:val="221F1F"/>
        </w:rPr>
        <w:t>Honorio</w:t>
      </w:r>
      <w:proofErr w:type="spellEnd"/>
      <w:r w:rsidRPr="009A5EC6">
        <w:rPr>
          <w:bCs/>
          <w:color w:val="221F1F"/>
        </w:rPr>
        <w:t xml:space="preserve"> KM. Recent Advances in the Prediction of Pharmacokinetics Properties in Drug Design Studies: A Review. </w:t>
      </w:r>
      <w:proofErr w:type="spellStart"/>
      <w:r w:rsidRPr="009A5EC6">
        <w:rPr>
          <w:bCs/>
          <w:color w:val="221F1F"/>
        </w:rPr>
        <w:t>ChemMedChem</w:t>
      </w:r>
      <w:proofErr w:type="spellEnd"/>
      <w:r w:rsidRPr="009A5EC6">
        <w:rPr>
          <w:bCs/>
          <w:color w:val="221F1F"/>
        </w:rPr>
        <w:t>. 2022 Jan 5</w:t>
      </w:r>
      <w:proofErr w:type="gramStart"/>
      <w:r w:rsidRPr="009A5EC6">
        <w:rPr>
          <w:bCs/>
          <w:color w:val="221F1F"/>
        </w:rPr>
        <w:t>;17</w:t>
      </w:r>
      <w:proofErr w:type="gramEnd"/>
      <w:r w:rsidRPr="009A5EC6">
        <w:rPr>
          <w:bCs/>
          <w:color w:val="221F1F"/>
        </w:rPr>
        <w:t>(1):e202100542.</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Rafeey</w:t>
      </w:r>
      <w:proofErr w:type="spellEnd"/>
      <w:r w:rsidRPr="00101F43">
        <w:rPr>
          <w:bCs/>
          <w:color w:val="221F1F"/>
        </w:rPr>
        <w:t xml:space="preserve">, M., </w:t>
      </w:r>
      <w:proofErr w:type="spellStart"/>
      <w:r w:rsidRPr="00101F43">
        <w:rPr>
          <w:bCs/>
          <w:color w:val="221F1F"/>
        </w:rPr>
        <w:t>Ghojazadeh</w:t>
      </w:r>
      <w:proofErr w:type="spellEnd"/>
      <w:r w:rsidRPr="00101F43">
        <w:rPr>
          <w:bCs/>
          <w:color w:val="221F1F"/>
        </w:rPr>
        <w:t xml:space="preserve">, M., </w:t>
      </w:r>
      <w:proofErr w:type="spellStart"/>
      <w:r w:rsidRPr="00101F43">
        <w:rPr>
          <w:bCs/>
          <w:color w:val="221F1F"/>
        </w:rPr>
        <w:t>Sheikhi</w:t>
      </w:r>
      <w:proofErr w:type="spellEnd"/>
      <w:r w:rsidRPr="00101F43">
        <w:rPr>
          <w:bCs/>
          <w:color w:val="221F1F"/>
        </w:rPr>
        <w:t xml:space="preserve">, S., &amp; </w:t>
      </w:r>
      <w:proofErr w:type="spellStart"/>
      <w:r w:rsidRPr="00101F43">
        <w:rPr>
          <w:bCs/>
          <w:color w:val="221F1F"/>
        </w:rPr>
        <w:t>Vahedi</w:t>
      </w:r>
      <w:proofErr w:type="spellEnd"/>
      <w:r w:rsidRPr="00101F43">
        <w:rPr>
          <w:bCs/>
          <w:color w:val="221F1F"/>
        </w:rPr>
        <w:t xml:space="preserve">, L. (2016). Caustic Ingestion in Children: a Systematic Review and Meta-Analysis. Journal of caring sciences, 5(3), 251–265. </w:t>
      </w:r>
      <w:hyperlink r:id="rId50" w:history="1">
        <w:r w:rsidRPr="00101F43">
          <w:rPr>
            <w:color w:val="221F1F"/>
          </w:rPr>
          <w:t>https://doi.org/10.15171/jcs.2016.027</w:t>
        </w:r>
      </w:hyperlink>
    </w:p>
    <w:p w:rsidR="00AF4003" w:rsidRDefault="00AF4003" w:rsidP="00AF4003">
      <w:pPr>
        <w:pStyle w:val="BodyText"/>
        <w:numPr>
          <w:ilvl w:val="0"/>
          <w:numId w:val="39"/>
        </w:numPr>
        <w:spacing w:before="87" w:line="340" w:lineRule="auto"/>
        <w:ind w:left="360"/>
        <w:jc w:val="both"/>
        <w:rPr>
          <w:bCs/>
          <w:color w:val="221F1F"/>
        </w:rPr>
      </w:pPr>
      <w:proofErr w:type="spellStart"/>
      <w:r w:rsidRPr="00AF4003">
        <w:rPr>
          <w:bCs/>
          <w:color w:val="221F1F"/>
        </w:rPr>
        <w:t>Rajka</w:t>
      </w:r>
      <w:proofErr w:type="spellEnd"/>
      <w:r w:rsidRPr="00AF4003">
        <w:rPr>
          <w:bCs/>
          <w:color w:val="221F1F"/>
        </w:rPr>
        <w:t xml:space="preserve">, T., et al., Acute child poisonings in Oslo: a 2-year prospective study. </w:t>
      </w:r>
      <w:proofErr w:type="spellStart"/>
      <w:r w:rsidRPr="00AF4003">
        <w:rPr>
          <w:bCs/>
          <w:color w:val="221F1F"/>
        </w:rPr>
        <w:t>Acta</w:t>
      </w:r>
      <w:proofErr w:type="spellEnd"/>
      <w:r w:rsidRPr="00AF4003">
        <w:rPr>
          <w:bCs/>
          <w:color w:val="221F1F"/>
        </w:rPr>
        <w:t xml:space="preserve"> </w:t>
      </w:r>
      <w:proofErr w:type="spellStart"/>
      <w:r w:rsidRPr="00AF4003">
        <w:rPr>
          <w:bCs/>
          <w:color w:val="221F1F"/>
        </w:rPr>
        <w:t>Paediatr</w:t>
      </w:r>
      <w:proofErr w:type="spellEnd"/>
      <w:r w:rsidRPr="00AF4003">
        <w:rPr>
          <w:bCs/>
          <w:color w:val="221F1F"/>
        </w:rPr>
        <w:t>, 2007. 96(9): p. 1355-9.</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Ram P, </w:t>
      </w:r>
      <w:proofErr w:type="spellStart"/>
      <w:r w:rsidRPr="00101F43">
        <w:rPr>
          <w:bCs/>
          <w:color w:val="221F1F"/>
        </w:rPr>
        <w:t>Kanchan</w:t>
      </w:r>
      <w:proofErr w:type="spellEnd"/>
      <w:r w:rsidRPr="00101F43">
        <w:rPr>
          <w:bCs/>
          <w:color w:val="221F1F"/>
        </w:rPr>
        <w:t xml:space="preserve"> T, </w:t>
      </w:r>
      <w:proofErr w:type="spellStart"/>
      <w:r w:rsidRPr="00101F43">
        <w:rPr>
          <w:bCs/>
          <w:color w:val="221F1F"/>
        </w:rPr>
        <w:t>Unnikrishnan</w:t>
      </w:r>
      <w:proofErr w:type="spellEnd"/>
      <w:r w:rsidRPr="00101F43">
        <w:rPr>
          <w:bCs/>
          <w:color w:val="221F1F"/>
        </w:rPr>
        <w:t xml:space="preserve"> B. Pattern of acute poisoning in children below 15 years-a study from Mangalore, South India. J Forensic Leg Med. 2014; 25: 26-29</w:t>
      </w:r>
    </w:p>
    <w:p w:rsidR="00AF4003" w:rsidRDefault="00AF4003" w:rsidP="00AF4003">
      <w:pPr>
        <w:pStyle w:val="BodyText"/>
        <w:numPr>
          <w:ilvl w:val="0"/>
          <w:numId w:val="39"/>
        </w:numPr>
        <w:spacing w:before="87" w:line="340" w:lineRule="auto"/>
        <w:ind w:left="360"/>
        <w:jc w:val="both"/>
        <w:rPr>
          <w:bCs/>
          <w:color w:val="221F1F"/>
        </w:rPr>
      </w:pPr>
      <w:r w:rsidRPr="00AF4003">
        <w:rPr>
          <w:bCs/>
          <w:color w:val="221F1F"/>
        </w:rPr>
        <w:t xml:space="preserve">Reith, D.M., W.R. Pitt, and R. Hockey, Childhood poisoning in Queensland: an analysis of presentation and admission rates. J </w:t>
      </w:r>
      <w:proofErr w:type="spellStart"/>
      <w:r w:rsidRPr="00AF4003">
        <w:rPr>
          <w:bCs/>
          <w:color w:val="221F1F"/>
        </w:rPr>
        <w:t>Paediatr</w:t>
      </w:r>
      <w:proofErr w:type="spellEnd"/>
      <w:r w:rsidRPr="00AF4003">
        <w:rPr>
          <w:bCs/>
          <w:color w:val="221F1F"/>
        </w:rPr>
        <w:t xml:space="preserve"> Child Health, 2001. 37(5): p. 446-50.</w:t>
      </w:r>
    </w:p>
    <w:p w:rsidR="00AF4003" w:rsidRPr="00101F43" w:rsidRDefault="00AF4003" w:rsidP="00AF4003">
      <w:pPr>
        <w:pStyle w:val="BodyText"/>
        <w:numPr>
          <w:ilvl w:val="0"/>
          <w:numId w:val="39"/>
        </w:numPr>
        <w:spacing w:before="87" w:line="340" w:lineRule="auto"/>
        <w:ind w:left="360"/>
        <w:jc w:val="both"/>
        <w:rPr>
          <w:bCs/>
          <w:color w:val="221F1F"/>
        </w:rPr>
      </w:pPr>
      <w:r w:rsidRPr="005D0719">
        <w:rPr>
          <w:bCs/>
          <w:color w:val="221F1F"/>
        </w:rPr>
        <w:t>Rodriguez-</w:t>
      </w:r>
      <w:proofErr w:type="spellStart"/>
      <w:r w:rsidRPr="005D0719">
        <w:rPr>
          <w:bCs/>
          <w:color w:val="221F1F"/>
        </w:rPr>
        <w:t>Antona</w:t>
      </w:r>
      <w:proofErr w:type="spellEnd"/>
      <w:r w:rsidRPr="005D0719">
        <w:rPr>
          <w:bCs/>
          <w:color w:val="221F1F"/>
        </w:rPr>
        <w:t xml:space="preserve"> C, </w:t>
      </w:r>
      <w:proofErr w:type="spellStart"/>
      <w:r w:rsidRPr="005D0719">
        <w:rPr>
          <w:bCs/>
          <w:color w:val="221F1F"/>
        </w:rPr>
        <w:t>Ingelman-Sundberg</w:t>
      </w:r>
      <w:proofErr w:type="spellEnd"/>
      <w:r w:rsidRPr="005D0719">
        <w:rPr>
          <w:bCs/>
          <w:color w:val="221F1F"/>
        </w:rPr>
        <w:t xml:space="preserve"> M. Cytochrome P450 </w:t>
      </w:r>
      <w:proofErr w:type="spellStart"/>
      <w:r w:rsidRPr="005D0719">
        <w:rPr>
          <w:bCs/>
          <w:color w:val="221F1F"/>
        </w:rPr>
        <w:t>pharmacogenetics</w:t>
      </w:r>
      <w:proofErr w:type="spellEnd"/>
      <w:r w:rsidRPr="005D0719">
        <w:rPr>
          <w:bCs/>
          <w:color w:val="221F1F"/>
        </w:rPr>
        <w:t xml:space="preserve"> and cancer. Oncogene. 2006 Mar 13</w:t>
      </w:r>
      <w:proofErr w:type="gramStart"/>
      <w:r w:rsidRPr="005D0719">
        <w:rPr>
          <w:bCs/>
          <w:color w:val="221F1F"/>
        </w:rPr>
        <w:t>;25</w:t>
      </w:r>
      <w:proofErr w:type="gramEnd"/>
      <w:r w:rsidRPr="005D0719">
        <w:rPr>
          <w:bCs/>
          <w:color w:val="221F1F"/>
        </w:rPr>
        <w:t>(11):1679-91.</w:t>
      </w:r>
    </w:p>
    <w:p w:rsidR="00AF4003" w:rsidRPr="00101F43" w:rsidRDefault="00AF4003" w:rsidP="00AF4003">
      <w:pPr>
        <w:pStyle w:val="BodyText"/>
        <w:numPr>
          <w:ilvl w:val="0"/>
          <w:numId w:val="39"/>
        </w:numPr>
        <w:spacing w:before="87" w:line="340" w:lineRule="auto"/>
        <w:ind w:left="360"/>
        <w:jc w:val="both"/>
        <w:rPr>
          <w:bCs/>
          <w:color w:val="221F1F"/>
        </w:rPr>
      </w:pPr>
      <w:proofErr w:type="spellStart"/>
      <w:r w:rsidRPr="00101F43">
        <w:rPr>
          <w:bCs/>
          <w:color w:val="221F1F"/>
        </w:rPr>
        <w:t>Sachdeva</w:t>
      </w:r>
      <w:proofErr w:type="spellEnd"/>
      <w:r w:rsidRPr="00101F43">
        <w:rPr>
          <w:bCs/>
          <w:color w:val="221F1F"/>
        </w:rPr>
        <w:t xml:space="preserve"> D K, </w:t>
      </w:r>
      <w:proofErr w:type="spellStart"/>
      <w:r w:rsidRPr="00101F43">
        <w:rPr>
          <w:bCs/>
          <w:color w:val="221F1F"/>
        </w:rPr>
        <w:t>Stadnyk</w:t>
      </w:r>
      <w:proofErr w:type="spellEnd"/>
      <w:r w:rsidRPr="00101F43">
        <w:rPr>
          <w:bCs/>
          <w:color w:val="221F1F"/>
        </w:rPr>
        <w:t xml:space="preserve"> J M. </w:t>
      </w:r>
      <w:proofErr w:type="gramStart"/>
      <w:r w:rsidRPr="00101F43">
        <w:rPr>
          <w:bCs/>
          <w:color w:val="221F1F"/>
        </w:rPr>
        <w:t>Are</w:t>
      </w:r>
      <w:proofErr w:type="gramEnd"/>
      <w:r w:rsidRPr="00101F43">
        <w:rPr>
          <w:bCs/>
          <w:color w:val="221F1F"/>
        </w:rPr>
        <w:t xml:space="preserve"> one or two dangerous? Opioid exposure in toddlers. J </w:t>
      </w:r>
      <w:proofErr w:type="spellStart"/>
      <w:r w:rsidRPr="00101F43">
        <w:rPr>
          <w:bCs/>
          <w:color w:val="221F1F"/>
        </w:rPr>
        <w:t>Emerg</w:t>
      </w:r>
      <w:proofErr w:type="spellEnd"/>
      <w:r w:rsidRPr="00101F43">
        <w:rPr>
          <w:bCs/>
          <w:color w:val="221F1F"/>
        </w:rPr>
        <w:t xml:space="preserve"> Med. 2005</w:t>
      </w:r>
      <w:proofErr w:type="gramStart"/>
      <w:r w:rsidRPr="00101F43">
        <w:rPr>
          <w:bCs/>
          <w:color w:val="221F1F"/>
        </w:rPr>
        <w:t>;29</w:t>
      </w:r>
      <w:proofErr w:type="gramEnd"/>
      <w:r w:rsidRPr="00101F43">
        <w:rPr>
          <w:bCs/>
          <w:color w:val="221F1F"/>
        </w:rPr>
        <w:t>(1):77–84.</w:t>
      </w:r>
    </w:p>
    <w:p w:rsidR="00AF4003" w:rsidRDefault="00AF4003" w:rsidP="00AF4003">
      <w:pPr>
        <w:pStyle w:val="BodyText"/>
        <w:numPr>
          <w:ilvl w:val="0"/>
          <w:numId w:val="39"/>
        </w:numPr>
        <w:spacing w:before="87" w:line="340" w:lineRule="auto"/>
        <w:ind w:left="360"/>
        <w:jc w:val="both"/>
        <w:rPr>
          <w:bCs/>
          <w:color w:val="221F1F"/>
        </w:rPr>
      </w:pPr>
      <w:proofErr w:type="spellStart"/>
      <w:r w:rsidRPr="00AF4003">
        <w:rPr>
          <w:bCs/>
          <w:color w:val="221F1F"/>
        </w:rPr>
        <w:t>Saikia</w:t>
      </w:r>
      <w:proofErr w:type="spellEnd"/>
      <w:r w:rsidRPr="00AF4003">
        <w:rPr>
          <w:bCs/>
          <w:color w:val="221F1F"/>
        </w:rPr>
        <w:t xml:space="preserve">, D., R.K. Sharma, and K.V. </w:t>
      </w:r>
      <w:proofErr w:type="spellStart"/>
      <w:r w:rsidRPr="00AF4003">
        <w:rPr>
          <w:bCs/>
          <w:color w:val="221F1F"/>
        </w:rPr>
        <w:t>Janardhan</w:t>
      </w:r>
      <w:proofErr w:type="spellEnd"/>
      <w:r w:rsidRPr="00AF4003">
        <w:rPr>
          <w:bCs/>
          <w:color w:val="221F1F"/>
        </w:rPr>
        <w:t xml:space="preserve">, Clinical profile of poisoning due to various poisons in children of age 0-12 years. J Family Med Prim Care, 2020. </w:t>
      </w:r>
      <w:r w:rsidRPr="00AF4003">
        <w:rPr>
          <w:bCs/>
          <w:color w:val="221F1F"/>
        </w:rPr>
        <w:lastRenderedPageBreak/>
        <w:t>9(5): p. 2291-2296.</w:t>
      </w:r>
    </w:p>
    <w:p w:rsidR="00AF4003" w:rsidRDefault="00AF4003" w:rsidP="00AF4003">
      <w:pPr>
        <w:pStyle w:val="BodyText"/>
        <w:numPr>
          <w:ilvl w:val="0"/>
          <w:numId w:val="39"/>
        </w:numPr>
        <w:spacing w:before="87" w:line="340" w:lineRule="auto"/>
        <w:ind w:left="360"/>
        <w:jc w:val="both"/>
        <w:rPr>
          <w:bCs/>
          <w:color w:val="221F1F"/>
        </w:rPr>
      </w:pPr>
      <w:r w:rsidRPr="00AF4003">
        <w:rPr>
          <w:bCs/>
          <w:color w:val="221F1F"/>
        </w:rPr>
        <w:t>Salem, W., et al., Epidemiology, clinical characteristics, and associated cost of acute poisoning: a retrospective study from the emergency department of the largest referral hospital in Qatar. 2023.</w:t>
      </w:r>
    </w:p>
    <w:p w:rsidR="00AF4003" w:rsidRDefault="00AF4003" w:rsidP="00AF4003">
      <w:pPr>
        <w:pStyle w:val="BodyText"/>
        <w:numPr>
          <w:ilvl w:val="0"/>
          <w:numId w:val="39"/>
        </w:numPr>
        <w:spacing w:before="87" w:line="340" w:lineRule="auto"/>
        <w:ind w:left="360"/>
        <w:jc w:val="both"/>
        <w:rPr>
          <w:bCs/>
          <w:color w:val="221F1F"/>
        </w:rPr>
      </w:pPr>
      <w:r w:rsidRPr="00AF4003">
        <w:rPr>
          <w:bCs/>
          <w:color w:val="221F1F"/>
        </w:rPr>
        <w:t xml:space="preserve">Sam, K.G., et al., Poisoning severity score, APACHE II and GCS: effective clinical indices for estimating severity and predicting outcome of acute </w:t>
      </w:r>
      <w:proofErr w:type="spellStart"/>
      <w:r w:rsidRPr="00AF4003">
        <w:rPr>
          <w:bCs/>
          <w:color w:val="221F1F"/>
        </w:rPr>
        <w:t>organophosphorus</w:t>
      </w:r>
      <w:proofErr w:type="spellEnd"/>
      <w:r w:rsidRPr="00AF4003">
        <w:rPr>
          <w:bCs/>
          <w:color w:val="221F1F"/>
        </w:rPr>
        <w:t xml:space="preserve"> and </w:t>
      </w:r>
      <w:proofErr w:type="spellStart"/>
      <w:r w:rsidRPr="00AF4003">
        <w:rPr>
          <w:bCs/>
          <w:color w:val="221F1F"/>
        </w:rPr>
        <w:t>carbamate</w:t>
      </w:r>
      <w:proofErr w:type="spellEnd"/>
      <w:r w:rsidRPr="00AF4003">
        <w:rPr>
          <w:bCs/>
          <w:color w:val="221F1F"/>
        </w:rPr>
        <w:t xml:space="preserve"> poisoning. Journal of forensic and legal medicine, 2009. 16(5): p. 239-247.</w:t>
      </w:r>
    </w:p>
    <w:p w:rsidR="00AF4003" w:rsidRPr="00542DD0" w:rsidRDefault="00AF4003" w:rsidP="00AF4003">
      <w:pPr>
        <w:pStyle w:val="BodyText"/>
        <w:numPr>
          <w:ilvl w:val="0"/>
          <w:numId w:val="39"/>
        </w:numPr>
        <w:spacing w:before="87" w:line="340" w:lineRule="auto"/>
        <w:ind w:left="360"/>
        <w:jc w:val="both"/>
        <w:rPr>
          <w:bCs/>
          <w:color w:val="221F1F"/>
        </w:rPr>
      </w:pPr>
      <w:r w:rsidRPr="00542DD0">
        <w:rPr>
          <w:bCs/>
          <w:color w:val="221F1F"/>
        </w:rPr>
        <w:t xml:space="preserve">Skinner A. Neonatal pharmacology. </w:t>
      </w:r>
      <w:proofErr w:type="spellStart"/>
      <w:r w:rsidRPr="00542DD0">
        <w:rPr>
          <w:bCs/>
          <w:color w:val="221F1F"/>
        </w:rPr>
        <w:t>Anaesth</w:t>
      </w:r>
      <w:proofErr w:type="spellEnd"/>
      <w:r w:rsidRPr="00542DD0">
        <w:rPr>
          <w:bCs/>
          <w:color w:val="221F1F"/>
        </w:rPr>
        <w:t xml:space="preserve"> Intensive Care Medicine 2008</w:t>
      </w:r>
      <w:proofErr w:type="gramStart"/>
      <w:r w:rsidRPr="00542DD0">
        <w:rPr>
          <w:bCs/>
          <w:color w:val="221F1F"/>
        </w:rPr>
        <w:t>;9:99</w:t>
      </w:r>
      <w:proofErr w:type="gramEnd"/>
      <w:r w:rsidRPr="00542DD0">
        <w:rPr>
          <w:bCs/>
          <w:color w:val="221F1F"/>
        </w:rPr>
        <w:t>-103.</w:t>
      </w:r>
    </w:p>
    <w:p w:rsidR="00AF4003" w:rsidRDefault="00AF4003" w:rsidP="00AF4003">
      <w:pPr>
        <w:pStyle w:val="BodyText"/>
        <w:numPr>
          <w:ilvl w:val="0"/>
          <w:numId w:val="39"/>
        </w:numPr>
        <w:spacing w:before="87" w:line="340" w:lineRule="auto"/>
        <w:ind w:left="360"/>
        <w:jc w:val="both"/>
        <w:rPr>
          <w:bCs/>
          <w:color w:val="221F1F"/>
        </w:rPr>
      </w:pPr>
      <w:r w:rsidRPr="00AF4003">
        <w:rPr>
          <w:bCs/>
          <w:color w:val="221F1F"/>
        </w:rPr>
        <w:t xml:space="preserve">Soave, P.M., et al., Acute poisoning in children admitted to pediatric emergency department: a </w:t>
      </w:r>
      <w:proofErr w:type="gramStart"/>
      <w:r w:rsidRPr="00AF4003">
        <w:rPr>
          <w:bCs/>
          <w:color w:val="221F1F"/>
        </w:rPr>
        <w:t>five-years</w:t>
      </w:r>
      <w:proofErr w:type="gramEnd"/>
      <w:r w:rsidRPr="00AF4003">
        <w:rPr>
          <w:bCs/>
          <w:color w:val="221F1F"/>
        </w:rPr>
        <w:t xml:space="preserve"> retrospective analysis. </w:t>
      </w:r>
      <w:proofErr w:type="spellStart"/>
      <w:r w:rsidRPr="00AF4003">
        <w:rPr>
          <w:bCs/>
          <w:color w:val="221F1F"/>
        </w:rPr>
        <w:t>Acta</w:t>
      </w:r>
      <w:proofErr w:type="spellEnd"/>
      <w:r w:rsidRPr="00AF4003">
        <w:rPr>
          <w:bCs/>
          <w:color w:val="221F1F"/>
        </w:rPr>
        <w:t xml:space="preserve"> Bio </w:t>
      </w:r>
      <w:proofErr w:type="spellStart"/>
      <w:r w:rsidRPr="00AF4003">
        <w:rPr>
          <w:bCs/>
          <w:color w:val="221F1F"/>
        </w:rPr>
        <w:t>Medica</w:t>
      </w:r>
      <w:proofErr w:type="spellEnd"/>
      <w:r w:rsidRPr="00AF4003">
        <w:rPr>
          <w:bCs/>
          <w:color w:val="221F1F"/>
        </w:rPr>
        <w:t xml:space="preserve">: </w:t>
      </w:r>
      <w:proofErr w:type="spellStart"/>
      <w:r w:rsidRPr="00AF4003">
        <w:rPr>
          <w:bCs/>
          <w:color w:val="221F1F"/>
        </w:rPr>
        <w:t>Atenei</w:t>
      </w:r>
      <w:proofErr w:type="spellEnd"/>
      <w:r w:rsidRPr="00AF4003">
        <w:rPr>
          <w:bCs/>
          <w:color w:val="221F1F"/>
        </w:rPr>
        <w:t xml:space="preserve"> </w:t>
      </w:r>
      <w:proofErr w:type="spellStart"/>
      <w:r w:rsidRPr="00AF4003">
        <w:rPr>
          <w:bCs/>
          <w:color w:val="221F1F"/>
        </w:rPr>
        <w:t>Parmensis</w:t>
      </w:r>
      <w:proofErr w:type="spellEnd"/>
      <w:r w:rsidRPr="00AF4003">
        <w:rPr>
          <w:bCs/>
          <w:color w:val="221F1F"/>
        </w:rPr>
        <w:t>, 2022. 93(1).</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Spiller HA, Ackerman JP, Spiller NE, </w:t>
      </w:r>
      <w:proofErr w:type="spellStart"/>
      <w:r w:rsidRPr="00101F43">
        <w:rPr>
          <w:bCs/>
          <w:color w:val="221F1F"/>
        </w:rPr>
        <w:t>Casavant</w:t>
      </w:r>
      <w:proofErr w:type="spellEnd"/>
      <w:r w:rsidRPr="00101F43">
        <w:rPr>
          <w:bCs/>
          <w:color w:val="221F1F"/>
        </w:rPr>
        <w:t xml:space="preserve"> MJ. Sex- and Age-specific Increases in Suicide Attempts by Self-Poisoning in the United States among Youth and Young Adults from 2000to 2018. J </w:t>
      </w:r>
      <w:proofErr w:type="spellStart"/>
      <w:r w:rsidRPr="00101F43">
        <w:rPr>
          <w:bCs/>
          <w:color w:val="221F1F"/>
        </w:rPr>
        <w:t>Pediatr</w:t>
      </w:r>
      <w:proofErr w:type="spellEnd"/>
      <w:r w:rsidRPr="00101F43">
        <w:rPr>
          <w:bCs/>
          <w:color w:val="221F1F"/>
        </w:rPr>
        <w:t xml:space="preserve"> 2019; 210:201.</w:t>
      </w:r>
    </w:p>
    <w:p w:rsidR="00AF4003" w:rsidRDefault="00AF4003" w:rsidP="00AF4003">
      <w:pPr>
        <w:pStyle w:val="BodyText"/>
        <w:numPr>
          <w:ilvl w:val="0"/>
          <w:numId w:val="39"/>
        </w:numPr>
        <w:spacing w:before="87" w:line="340" w:lineRule="auto"/>
        <w:ind w:left="360"/>
        <w:jc w:val="both"/>
        <w:rPr>
          <w:bCs/>
          <w:color w:val="221F1F"/>
        </w:rPr>
      </w:pPr>
      <w:proofErr w:type="spellStart"/>
      <w:r w:rsidRPr="00AF4003">
        <w:rPr>
          <w:bCs/>
          <w:color w:val="221F1F"/>
        </w:rPr>
        <w:t>Tobaiqy</w:t>
      </w:r>
      <w:proofErr w:type="spellEnd"/>
      <w:r w:rsidRPr="00AF4003">
        <w:rPr>
          <w:bCs/>
          <w:color w:val="221F1F"/>
        </w:rPr>
        <w:t xml:space="preserve">, M., et al., Views of parents and pharmacists following participation in a </w:t>
      </w:r>
      <w:proofErr w:type="spellStart"/>
      <w:r w:rsidRPr="00AF4003">
        <w:rPr>
          <w:bCs/>
          <w:color w:val="221F1F"/>
        </w:rPr>
        <w:t>paediatric</w:t>
      </w:r>
      <w:proofErr w:type="spellEnd"/>
      <w:r w:rsidRPr="00AF4003">
        <w:rPr>
          <w:bCs/>
          <w:color w:val="221F1F"/>
        </w:rPr>
        <w:t xml:space="preserve"> </w:t>
      </w:r>
      <w:proofErr w:type="spellStart"/>
      <w:r w:rsidRPr="00AF4003">
        <w:rPr>
          <w:bCs/>
          <w:color w:val="221F1F"/>
        </w:rPr>
        <w:t>pharmacovigilance</w:t>
      </w:r>
      <w:proofErr w:type="spellEnd"/>
      <w:r w:rsidRPr="00AF4003">
        <w:rPr>
          <w:bCs/>
          <w:color w:val="221F1F"/>
        </w:rPr>
        <w:t xml:space="preserve"> study. Pharmacy world &amp; science, 2010. 32: p. 334-338.</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Wang GS, Hoppe JA, </w:t>
      </w:r>
      <w:proofErr w:type="spellStart"/>
      <w:r w:rsidRPr="00101F43">
        <w:rPr>
          <w:bCs/>
          <w:color w:val="221F1F"/>
        </w:rPr>
        <w:t>Brou</w:t>
      </w:r>
      <w:proofErr w:type="spellEnd"/>
      <w:r w:rsidRPr="00101F43">
        <w:rPr>
          <w:bCs/>
          <w:color w:val="221F1F"/>
        </w:rPr>
        <w:t xml:space="preserve"> L, Heard KJ. Medication organizers (pill minders) increase the risk for unintentional pediatric ingestions. </w:t>
      </w:r>
      <w:proofErr w:type="spellStart"/>
      <w:r w:rsidRPr="00101F43">
        <w:rPr>
          <w:bCs/>
          <w:color w:val="221F1F"/>
        </w:rPr>
        <w:t>Clin</w:t>
      </w:r>
      <w:proofErr w:type="spellEnd"/>
      <w:r w:rsidRPr="00101F43">
        <w:rPr>
          <w:bCs/>
          <w:color w:val="221F1F"/>
        </w:rPr>
        <w:t xml:space="preserve"> </w:t>
      </w:r>
      <w:proofErr w:type="spellStart"/>
      <w:r w:rsidRPr="00101F43">
        <w:rPr>
          <w:bCs/>
          <w:color w:val="221F1F"/>
        </w:rPr>
        <w:t>Toxicol</w:t>
      </w:r>
      <w:proofErr w:type="spellEnd"/>
      <w:r w:rsidRPr="00101F43">
        <w:rPr>
          <w:bCs/>
          <w:color w:val="221F1F"/>
        </w:rPr>
        <w:t xml:space="preserve"> (</w:t>
      </w:r>
      <w:proofErr w:type="spellStart"/>
      <w:r w:rsidRPr="00101F43">
        <w:rPr>
          <w:bCs/>
          <w:color w:val="221F1F"/>
        </w:rPr>
        <w:t>Phila</w:t>
      </w:r>
      <w:proofErr w:type="spellEnd"/>
      <w:r w:rsidRPr="00101F43">
        <w:rPr>
          <w:bCs/>
          <w:color w:val="221F1F"/>
        </w:rPr>
        <w:t>) 2017; 55:897.</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Watson, W. A., </w:t>
      </w:r>
      <w:proofErr w:type="spellStart"/>
      <w:r w:rsidRPr="00101F43">
        <w:rPr>
          <w:bCs/>
          <w:color w:val="221F1F"/>
        </w:rPr>
        <w:t>Litovitz</w:t>
      </w:r>
      <w:proofErr w:type="spellEnd"/>
      <w:r w:rsidRPr="00101F43">
        <w:rPr>
          <w:bCs/>
          <w:color w:val="221F1F"/>
        </w:rPr>
        <w:t xml:space="preserve">, T. L., Klein-Schwartz, W., Rodgers, G. C., </w:t>
      </w:r>
      <w:proofErr w:type="spellStart"/>
      <w:r w:rsidRPr="00101F43">
        <w:rPr>
          <w:bCs/>
          <w:color w:val="221F1F"/>
        </w:rPr>
        <w:t>Jr</w:t>
      </w:r>
      <w:proofErr w:type="spellEnd"/>
      <w:r w:rsidRPr="00101F43">
        <w:rPr>
          <w:bCs/>
          <w:color w:val="221F1F"/>
        </w:rPr>
        <w:t xml:space="preserve">, </w:t>
      </w:r>
      <w:proofErr w:type="spellStart"/>
      <w:r w:rsidRPr="00101F43">
        <w:rPr>
          <w:bCs/>
          <w:color w:val="221F1F"/>
        </w:rPr>
        <w:t>Youniss</w:t>
      </w:r>
      <w:proofErr w:type="spellEnd"/>
      <w:r w:rsidRPr="00101F43">
        <w:rPr>
          <w:bCs/>
          <w:color w:val="221F1F"/>
        </w:rPr>
        <w:t xml:space="preserve">, J., Reid, N., Rouse, W. G., </w:t>
      </w:r>
      <w:proofErr w:type="spellStart"/>
      <w:r w:rsidRPr="00101F43">
        <w:rPr>
          <w:bCs/>
          <w:color w:val="221F1F"/>
        </w:rPr>
        <w:t>Rembert</w:t>
      </w:r>
      <w:proofErr w:type="spellEnd"/>
      <w:r w:rsidRPr="00101F43">
        <w:rPr>
          <w:bCs/>
          <w:color w:val="221F1F"/>
        </w:rPr>
        <w:t xml:space="preserve">, R. S., &amp; </w:t>
      </w:r>
      <w:proofErr w:type="spellStart"/>
      <w:r w:rsidRPr="00101F43">
        <w:rPr>
          <w:bCs/>
          <w:color w:val="221F1F"/>
        </w:rPr>
        <w:t>Borys</w:t>
      </w:r>
      <w:proofErr w:type="spellEnd"/>
      <w:r w:rsidRPr="00101F43">
        <w:rPr>
          <w:bCs/>
          <w:color w:val="221F1F"/>
        </w:rPr>
        <w:t xml:space="preserve">, D. (2004). 2003 annual report of the American Association of Poison Control Centers Toxic Exposure Surveillance System. The American journal of emergency medicine, </w:t>
      </w:r>
      <w:r w:rsidRPr="00101F43">
        <w:rPr>
          <w:bCs/>
          <w:color w:val="221F1F"/>
        </w:rPr>
        <w:lastRenderedPageBreak/>
        <w:t xml:space="preserve">22(5), 335–404. </w:t>
      </w:r>
      <w:hyperlink r:id="rId51" w:history="1">
        <w:r w:rsidRPr="00101F43">
          <w:rPr>
            <w:color w:val="221F1F"/>
          </w:rPr>
          <w:t>https://doi.org/10.1016/j.ajem.2004.06.001</w:t>
        </w:r>
      </w:hyperlink>
    </w:p>
    <w:p w:rsidR="00AF4003" w:rsidRPr="00101F43" w:rsidRDefault="00AF4003" w:rsidP="00AF4003">
      <w:pPr>
        <w:pStyle w:val="BodyText"/>
        <w:numPr>
          <w:ilvl w:val="0"/>
          <w:numId w:val="39"/>
        </w:numPr>
        <w:spacing w:before="87" w:line="340" w:lineRule="auto"/>
        <w:ind w:left="360"/>
        <w:jc w:val="both"/>
        <w:rPr>
          <w:bCs/>
          <w:color w:val="221F1F"/>
        </w:rPr>
      </w:pPr>
      <w:r w:rsidRPr="00542DD0">
        <w:rPr>
          <w:bCs/>
          <w:color w:val="221F1F"/>
        </w:rPr>
        <w:t xml:space="preserve">Winchester JF. Dialysis and </w:t>
      </w:r>
      <w:proofErr w:type="spellStart"/>
      <w:r w:rsidRPr="00542DD0">
        <w:rPr>
          <w:bCs/>
          <w:color w:val="221F1F"/>
        </w:rPr>
        <w:t>hemoperfusion</w:t>
      </w:r>
      <w:proofErr w:type="spellEnd"/>
      <w:r w:rsidRPr="00542DD0">
        <w:rPr>
          <w:bCs/>
          <w:color w:val="221F1F"/>
        </w:rPr>
        <w:t xml:space="preserve"> in poisoning. </w:t>
      </w:r>
      <w:proofErr w:type="spellStart"/>
      <w:r w:rsidRPr="00542DD0">
        <w:rPr>
          <w:bCs/>
          <w:color w:val="221F1F"/>
        </w:rPr>
        <w:t>Adv</w:t>
      </w:r>
      <w:proofErr w:type="spellEnd"/>
      <w:r w:rsidRPr="00542DD0">
        <w:rPr>
          <w:bCs/>
          <w:color w:val="221F1F"/>
        </w:rPr>
        <w:t xml:space="preserve"> </w:t>
      </w:r>
      <w:proofErr w:type="spellStart"/>
      <w:r w:rsidRPr="00542DD0">
        <w:rPr>
          <w:bCs/>
          <w:color w:val="221F1F"/>
        </w:rPr>
        <w:t>Ren</w:t>
      </w:r>
      <w:proofErr w:type="spellEnd"/>
      <w:r w:rsidRPr="00542DD0">
        <w:rPr>
          <w:bCs/>
          <w:color w:val="221F1F"/>
        </w:rPr>
        <w:t xml:space="preserve"> Replace </w:t>
      </w:r>
      <w:proofErr w:type="spellStart"/>
      <w:r w:rsidRPr="00542DD0">
        <w:rPr>
          <w:bCs/>
          <w:color w:val="221F1F"/>
        </w:rPr>
        <w:t>Ther</w:t>
      </w:r>
      <w:proofErr w:type="spellEnd"/>
      <w:r w:rsidRPr="00542DD0">
        <w:rPr>
          <w:bCs/>
          <w:color w:val="221F1F"/>
        </w:rPr>
        <w:t>. 2002</w:t>
      </w:r>
      <w:proofErr w:type="gramStart"/>
      <w:r w:rsidRPr="00542DD0">
        <w:rPr>
          <w:bCs/>
          <w:color w:val="221F1F"/>
        </w:rPr>
        <w:t>;9</w:t>
      </w:r>
      <w:proofErr w:type="gramEnd"/>
      <w:r w:rsidRPr="00542DD0">
        <w:rPr>
          <w:bCs/>
          <w:color w:val="221F1F"/>
        </w:rPr>
        <w:t>(1):26-30. doi:10.1053/jarr.2002.30470</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Woo J.H, </w:t>
      </w:r>
      <w:proofErr w:type="spellStart"/>
      <w:r w:rsidRPr="00101F43">
        <w:rPr>
          <w:bCs/>
          <w:color w:val="221F1F"/>
        </w:rPr>
        <w:t>Ryoo</w:t>
      </w:r>
      <w:proofErr w:type="spellEnd"/>
      <w:r w:rsidRPr="00101F43">
        <w:rPr>
          <w:bCs/>
          <w:color w:val="221F1F"/>
        </w:rPr>
        <w:t xml:space="preserve"> E. Poisoning in Korean children and adolescents. </w:t>
      </w:r>
      <w:proofErr w:type="spellStart"/>
      <w:r w:rsidRPr="00101F43">
        <w:rPr>
          <w:bCs/>
          <w:color w:val="221F1F"/>
        </w:rPr>
        <w:t>Pediatr</w:t>
      </w:r>
      <w:proofErr w:type="spellEnd"/>
      <w:r w:rsidRPr="00101F43">
        <w:rPr>
          <w:bCs/>
          <w:color w:val="221F1F"/>
        </w:rPr>
        <w:t xml:space="preserve"> </w:t>
      </w:r>
      <w:proofErr w:type="spellStart"/>
      <w:r w:rsidRPr="00101F43">
        <w:rPr>
          <w:bCs/>
          <w:color w:val="221F1F"/>
        </w:rPr>
        <w:t>Gastroenterol</w:t>
      </w:r>
      <w:proofErr w:type="spellEnd"/>
      <w:r w:rsidRPr="00101F43">
        <w:rPr>
          <w:bCs/>
          <w:color w:val="221F1F"/>
        </w:rPr>
        <w:t xml:space="preserve"> </w:t>
      </w:r>
      <w:proofErr w:type="spellStart"/>
      <w:r w:rsidRPr="00101F43">
        <w:rPr>
          <w:bCs/>
          <w:color w:val="221F1F"/>
        </w:rPr>
        <w:t>Hepatol</w:t>
      </w:r>
      <w:proofErr w:type="spellEnd"/>
      <w:r w:rsidRPr="00101F43">
        <w:rPr>
          <w:bCs/>
          <w:color w:val="221F1F"/>
        </w:rPr>
        <w:t xml:space="preserve"> </w:t>
      </w:r>
      <w:proofErr w:type="spellStart"/>
      <w:r w:rsidRPr="00101F43">
        <w:rPr>
          <w:bCs/>
          <w:color w:val="221F1F"/>
        </w:rPr>
        <w:t>Nutr</w:t>
      </w:r>
      <w:proofErr w:type="spellEnd"/>
      <w:r w:rsidRPr="00101F43">
        <w:rPr>
          <w:bCs/>
          <w:color w:val="221F1F"/>
        </w:rPr>
        <w:t>. 2013; 16: 233-239</w:t>
      </w:r>
    </w:p>
    <w:p w:rsidR="00AF4003" w:rsidRPr="00101F43" w:rsidRDefault="00AF4003" w:rsidP="00AF4003">
      <w:pPr>
        <w:pStyle w:val="BodyText"/>
        <w:numPr>
          <w:ilvl w:val="0"/>
          <w:numId w:val="39"/>
        </w:numPr>
        <w:spacing w:before="87" w:line="340" w:lineRule="auto"/>
        <w:ind w:left="360"/>
        <w:jc w:val="both"/>
        <w:rPr>
          <w:bCs/>
          <w:color w:val="221F1F"/>
        </w:rPr>
      </w:pPr>
      <w:r w:rsidRPr="00101F43">
        <w:rPr>
          <w:bCs/>
          <w:color w:val="221F1F"/>
        </w:rPr>
        <w:t>World Health Organization World Report on Childhood Injury Prevention, 2008</w:t>
      </w:r>
    </w:p>
    <w:p w:rsidR="00AF4003" w:rsidRDefault="00AF4003" w:rsidP="00AF4003">
      <w:pPr>
        <w:pStyle w:val="BodyText"/>
        <w:numPr>
          <w:ilvl w:val="0"/>
          <w:numId w:val="39"/>
        </w:numPr>
        <w:spacing w:before="87" w:line="340" w:lineRule="auto"/>
        <w:ind w:left="360"/>
        <w:jc w:val="both"/>
        <w:rPr>
          <w:bCs/>
          <w:color w:val="221F1F"/>
        </w:rPr>
      </w:pPr>
      <w:proofErr w:type="spellStart"/>
      <w:r w:rsidRPr="00AF4003">
        <w:rPr>
          <w:bCs/>
          <w:color w:val="221F1F"/>
        </w:rPr>
        <w:t>Woyessa</w:t>
      </w:r>
      <w:proofErr w:type="spellEnd"/>
      <w:r w:rsidRPr="00AF4003">
        <w:rPr>
          <w:bCs/>
          <w:color w:val="221F1F"/>
        </w:rPr>
        <w:t xml:space="preserve">, A.H. and T. </w:t>
      </w:r>
      <w:proofErr w:type="spellStart"/>
      <w:r w:rsidRPr="00AF4003">
        <w:rPr>
          <w:bCs/>
          <w:color w:val="221F1F"/>
        </w:rPr>
        <w:t>Palanichamy</w:t>
      </w:r>
      <w:proofErr w:type="spellEnd"/>
      <w:r w:rsidRPr="00AF4003">
        <w:rPr>
          <w:bCs/>
          <w:color w:val="221F1F"/>
        </w:rPr>
        <w:t xml:space="preserve">, Patterns, Associated Factors, and Clinical Outcomes of Poisoning among Poisoning Cases Presented to Selected Hospitals in Western Ethiopia: Hospital-Based Study. </w:t>
      </w:r>
      <w:proofErr w:type="spellStart"/>
      <w:r w:rsidRPr="00AF4003">
        <w:rPr>
          <w:bCs/>
          <w:color w:val="221F1F"/>
        </w:rPr>
        <w:t>Emerg</w:t>
      </w:r>
      <w:proofErr w:type="spellEnd"/>
      <w:r w:rsidRPr="00AF4003">
        <w:rPr>
          <w:bCs/>
          <w:color w:val="221F1F"/>
        </w:rPr>
        <w:t xml:space="preserve"> Med </w:t>
      </w:r>
      <w:proofErr w:type="spellStart"/>
      <w:r w:rsidRPr="00AF4003">
        <w:rPr>
          <w:bCs/>
          <w:color w:val="221F1F"/>
        </w:rPr>
        <w:t>Int</w:t>
      </w:r>
      <w:proofErr w:type="spellEnd"/>
      <w:r w:rsidRPr="00AF4003">
        <w:rPr>
          <w:bCs/>
          <w:color w:val="221F1F"/>
        </w:rPr>
        <w:t>, 2020. 2020: p. 5741692.</w:t>
      </w:r>
    </w:p>
    <w:p w:rsidR="00AF4003" w:rsidRDefault="00AF4003" w:rsidP="00AF4003">
      <w:pPr>
        <w:pStyle w:val="BodyText"/>
        <w:numPr>
          <w:ilvl w:val="0"/>
          <w:numId w:val="39"/>
        </w:numPr>
        <w:spacing w:before="87" w:line="340" w:lineRule="auto"/>
        <w:ind w:left="360"/>
        <w:jc w:val="both"/>
        <w:rPr>
          <w:bCs/>
          <w:color w:val="221F1F"/>
        </w:rPr>
      </w:pPr>
      <w:r w:rsidRPr="00101F43">
        <w:rPr>
          <w:bCs/>
          <w:color w:val="221F1F"/>
        </w:rPr>
        <w:t xml:space="preserve">Yoshida, T., Mimura, M., &amp; </w:t>
      </w:r>
      <w:proofErr w:type="spellStart"/>
      <w:r w:rsidRPr="00101F43">
        <w:rPr>
          <w:bCs/>
          <w:color w:val="221F1F"/>
        </w:rPr>
        <w:t>Sakon</w:t>
      </w:r>
      <w:proofErr w:type="spellEnd"/>
      <w:r w:rsidRPr="00101F43">
        <w:rPr>
          <w:bCs/>
          <w:color w:val="221F1F"/>
        </w:rPr>
        <w:t xml:space="preserve">, N. (2022). Exposure to </w:t>
      </w:r>
      <w:proofErr w:type="spellStart"/>
      <w:r w:rsidRPr="00101F43">
        <w:rPr>
          <w:bCs/>
          <w:color w:val="221F1F"/>
        </w:rPr>
        <w:t>organophosphorus</w:t>
      </w:r>
      <w:proofErr w:type="spellEnd"/>
      <w:r w:rsidRPr="00101F43">
        <w:rPr>
          <w:bCs/>
          <w:color w:val="221F1F"/>
        </w:rPr>
        <w:t xml:space="preserve"> compounds of Japanese children and the indoor air quality in their residences. The Science of the total environment, 850, 158020. </w:t>
      </w:r>
      <w:hyperlink r:id="rId52" w:history="1">
        <w:r w:rsidRPr="00101F43">
          <w:rPr>
            <w:color w:val="221F1F"/>
          </w:rPr>
          <w:t>https://doi.org/10.1016/j.scitotenv.2022.158020</w:t>
        </w:r>
      </w:hyperlink>
    </w:p>
    <w:p w:rsidR="00EA7444" w:rsidRPr="006249CD" w:rsidRDefault="00EA7444" w:rsidP="00EA7444">
      <w:pPr>
        <w:tabs>
          <w:tab w:val="right" w:pos="1260"/>
        </w:tabs>
        <w:bidi w:val="0"/>
        <w:spacing w:after="160" w:line="360" w:lineRule="auto"/>
        <w:ind w:firstLine="720"/>
        <w:jc w:val="lowKashida"/>
        <w:rPr>
          <w:rFonts w:asciiTheme="majorBidi" w:hAnsiTheme="majorBidi" w:cstheme="majorBidi"/>
          <w:sz w:val="28"/>
          <w:szCs w:val="28"/>
          <w:lang w:bidi="ar-EG"/>
        </w:rPr>
      </w:pPr>
      <w:r w:rsidRPr="00BB0AAD">
        <w:rPr>
          <w:rFonts w:asciiTheme="majorBidi" w:hAnsiTheme="majorBidi" w:cstheme="majorBidi"/>
          <w:sz w:val="28"/>
          <w:szCs w:val="28"/>
          <w:rtl/>
          <w:lang w:bidi="ar-EG"/>
        </w:rPr>
        <w:t>‏</w:t>
      </w:r>
    </w:p>
    <w:p w:rsidR="00090EDC" w:rsidRPr="00EA7444" w:rsidRDefault="00090EDC" w:rsidP="00EA7444">
      <w:pPr>
        <w:bidi w:val="0"/>
        <w:spacing w:after="160" w:line="360" w:lineRule="auto"/>
        <w:jc w:val="lowKashida"/>
        <w:rPr>
          <w:rFonts w:asciiTheme="majorBidi" w:hAnsiTheme="majorBidi" w:cstheme="majorBidi"/>
          <w:sz w:val="28"/>
          <w:szCs w:val="28"/>
          <w:lang w:bidi="ar-EG"/>
        </w:rPr>
        <w:sectPr w:rsidR="00090EDC" w:rsidRPr="00EA7444" w:rsidSect="007461CB">
          <w:headerReference w:type="default" r:id="rId53"/>
          <w:pgSz w:w="12240" w:h="15840"/>
          <w:pgMar w:top="1440" w:right="1440" w:bottom="1440" w:left="1440" w:header="720" w:footer="720" w:gutter="0"/>
          <w:cols w:space="720"/>
          <w:docGrid w:linePitch="360"/>
        </w:sectPr>
      </w:pPr>
    </w:p>
    <w:p w:rsidR="00074956" w:rsidRDefault="00074956" w:rsidP="007461CB">
      <w:pPr>
        <w:spacing w:line="360" w:lineRule="auto"/>
        <w:jc w:val="center"/>
        <w:rPr>
          <w:rFonts w:asciiTheme="majorBidi" w:hAnsiTheme="majorBidi" w:cstheme="majorBidi"/>
          <w:b/>
          <w:bCs/>
          <w:sz w:val="44"/>
          <w:szCs w:val="44"/>
          <w:rtl/>
        </w:rPr>
      </w:pPr>
      <w:r w:rsidRPr="00DF12F4">
        <w:rPr>
          <w:rFonts w:asciiTheme="majorBidi" w:hAnsiTheme="majorBidi" w:cstheme="majorBidi" w:hint="cs"/>
          <w:b/>
          <w:bCs/>
          <w:sz w:val="44"/>
          <w:szCs w:val="44"/>
          <w:rtl/>
        </w:rPr>
        <w:lastRenderedPageBreak/>
        <w:t>الملخص العربي</w:t>
      </w:r>
    </w:p>
    <w:p w:rsidR="00610F79" w:rsidRPr="00610F79" w:rsidRDefault="00610F79" w:rsidP="00610F79">
      <w:pPr>
        <w:spacing w:line="360" w:lineRule="auto"/>
        <w:ind w:firstLine="72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يعتبر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مصدر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قلق</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كبير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صحة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بسبب</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التعرض</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العرضي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للمواد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الضارة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يمكن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تضر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الخلايا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أو</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تقتلها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غالبًا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يؤدي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فضول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الطبيعي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إلى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تناولهم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مواد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سامة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أو</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استنشاقها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أو</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امتصاصها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أو</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حقنها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غير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قصد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لمعالجة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هذه</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المشكلة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الضروري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التركيز</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الوقاية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وإدارته</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وفهمه</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تنبع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الإلحاح</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ضعف</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وميولهم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الاستكشافية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يعد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التدخل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السريع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أمرًا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ضروريًا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لمنع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تصاعد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الأعراض</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الضروري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اتباع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نهج</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متعدد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التخصصات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يشمل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المهنيين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الطبيين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ومقدمي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الرعاية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والمعلمين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وصناع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السياسات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الخطوات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الفورية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مثل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إزالة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السموم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إلى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العلاجات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المتخصصة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تسلط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عملية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الإدارة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الضوء</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تقاطع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العلوم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الطبية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وعلم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النفس</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والدعم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الاجتماعي</w:t>
      </w:r>
      <w:r w:rsidRPr="00610F79">
        <w:rPr>
          <w:rFonts w:asciiTheme="majorBidi" w:hAnsiTheme="majorBidi" w:cs="Times New Roman"/>
          <w:sz w:val="28"/>
          <w:szCs w:val="28"/>
          <w:rtl/>
          <w:lang w:bidi="ar-EG"/>
        </w:rPr>
        <w:t>.</w:t>
      </w:r>
    </w:p>
    <w:p w:rsidR="00610F79" w:rsidRPr="00610F79" w:rsidRDefault="00610F79" w:rsidP="00610F79">
      <w:pPr>
        <w:spacing w:line="360" w:lineRule="auto"/>
        <w:ind w:firstLine="72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نتائج</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حالات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لها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آثار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واسعة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التعافي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المدى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القصير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والصحة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المدى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الطويل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تؤثر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العوامل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مثل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نوع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السم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وكميته</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وعمر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الطفل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وتوقيت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التدخل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الطبي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والظروف</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الصحية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الأساسية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النتائج</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يختلف</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نطاق</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النتائج</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بدءًا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الشفاء</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التام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الحالات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الخفيفة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إلى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الحالات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الشديدة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تسبب</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تلفًا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الأعضاء</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أو</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الوفاة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يعد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فهم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هذه</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العوامل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أمرًا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محوريًا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لتوجيه</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القرارات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الطبية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وتحسين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التدخلات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وتنقيح</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الاستراتيجيات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الوقائية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بالنظر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إلى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الانتشار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العالمي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والعواقب</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المحتملة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الضروري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اتباع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نهج</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شامل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يتضمن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هذا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النهج</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مبادرات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الصحة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العامة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والحملات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التعليمية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والتطورات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الطبية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والتغييرات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السياسات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لخلق</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بيئة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أكثر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أمانًا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بشكل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جماعي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مما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يقلل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عبء</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هذا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التحدي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الصحي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الذي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يمكن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الوقاية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منه</w:t>
      </w:r>
      <w:r w:rsidRPr="00610F79">
        <w:rPr>
          <w:rFonts w:asciiTheme="majorBidi" w:hAnsiTheme="majorBidi" w:cs="Times New Roman"/>
          <w:sz w:val="28"/>
          <w:szCs w:val="28"/>
          <w:rtl/>
          <w:lang w:bidi="ar-EG"/>
        </w:rPr>
        <w:t>.</w:t>
      </w:r>
    </w:p>
    <w:p w:rsidR="00610F79" w:rsidRPr="00610F79" w:rsidRDefault="00610F79" w:rsidP="00610F79">
      <w:pPr>
        <w:spacing w:line="360" w:lineRule="auto"/>
        <w:ind w:firstLine="72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كان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الهدف</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الرئيسي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الدراسة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هو</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تقييم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انتشار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حوادث</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عند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وتقييم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الإدارة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والتأكد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النتائج</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الناتجة</w:t>
      </w:r>
      <w:r w:rsidRPr="00610F79">
        <w:rPr>
          <w:rFonts w:asciiTheme="majorBidi" w:hAnsiTheme="majorBidi" w:cs="Times New Roman"/>
          <w:sz w:val="28"/>
          <w:szCs w:val="28"/>
          <w:rtl/>
          <w:lang w:bidi="ar-EG"/>
        </w:rPr>
        <w:t>.</w:t>
      </w:r>
    </w:p>
    <w:p w:rsidR="00610F79" w:rsidRPr="00610F79" w:rsidRDefault="00610F79" w:rsidP="00610F79">
      <w:pPr>
        <w:spacing w:line="360" w:lineRule="auto"/>
        <w:ind w:firstLine="72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تم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إجراء</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هذه</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الدراسة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بأثر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رجعي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قسم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طب</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ووحدة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العناية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المركزة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بمستشفى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قنا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الجامعي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مصر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والتي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امتدت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يناير</w:t>
      </w:r>
      <w:r w:rsidRPr="00610F79">
        <w:rPr>
          <w:rFonts w:asciiTheme="majorBidi" w:hAnsiTheme="majorBidi" w:cs="Times New Roman"/>
          <w:sz w:val="28"/>
          <w:szCs w:val="28"/>
          <w:rtl/>
          <w:lang w:bidi="ar-EG"/>
        </w:rPr>
        <w:t xml:space="preserve"> 2020 </w:t>
      </w:r>
      <w:r w:rsidRPr="00610F79">
        <w:rPr>
          <w:rFonts w:asciiTheme="majorBidi" w:hAnsiTheme="majorBidi" w:cs="Times New Roman" w:hint="cs"/>
          <w:sz w:val="28"/>
          <w:szCs w:val="28"/>
          <w:rtl/>
          <w:lang w:bidi="ar-EG"/>
        </w:rPr>
        <w:t>إلى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ديسمبر</w:t>
      </w:r>
      <w:r w:rsidRPr="00610F79">
        <w:rPr>
          <w:rFonts w:asciiTheme="majorBidi" w:hAnsiTheme="majorBidi" w:cs="Times New Roman"/>
          <w:sz w:val="28"/>
          <w:szCs w:val="28"/>
          <w:rtl/>
          <w:lang w:bidi="ar-EG"/>
        </w:rPr>
        <w:t xml:space="preserve"> 2021. </w:t>
      </w:r>
      <w:r w:rsidRPr="00610F79">
        <w:rPr>
          <w:rFonts w:asciiTheme="majorBidi" w:hAnsiTheme="majorBidi" w:cs="Times New Roman" w:hint="cs"/>
          <w:sz w:val="28"/>
          <w:szCs w:val="28"/>
          <w:rtl/>
          <w:lang w:bidi="ar-EG"/>
        </w:rPr>
        <w:t>وشملت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الدراسة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موضوعات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بناءً</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معايير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التضمين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والتي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شملت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جميع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المرضى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الذين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قبولهم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قسم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طب</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ظهور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الأعراض</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توحي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بالتسمم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النحو</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الذي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يحدده</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التاريخ</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والفحص</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البدني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والتقييمات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المعملية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المجموع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تضمين</w:t>
      </w:r>
      <w:r w:rsidRPr="00610F79">
        <w:rPr>
          <w:rFonts w:asciiTheme="majorBidi" w:hAnsiTheme="majorBidi" w:cs="Times New Roman"/>
          <w:sz w:val="28"/>
          <w:szCs w:val="28"/>
          <w:rtl/>
          <w:lang w:bidi="ar-EG"/>
        </w:rPr>
        <w:t xml:space="preserve"> 100 </w:t>
      </w:r>
      <w:r w:rsidRPr="00610F79">
        <w:rPr>
          <w:rFonts w:asciiTheme="majorBidi" w:hAnsiTheme="majorBidi" w:cs="Times New Roman" w:hint="cs"/>
          <w:sz w:val="28"/>
          <w:szCs w:val="28"/>
          <w:rtl/>
          <w:lang w:bidi="ar-EG"/>
        </w:rPr>
        <w:t>مريض</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يستوفون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هذه</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المعايير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التحليل</w:t>
      </w:r>
      <w:r w:rsidRPr="00610F79">
        <w:rPr>
          <w:rFonts w:asciiTheme="majorBidi" w:hAnsiTheme="majorBidi" w:cs="Times New Roman"/>
          <w:sz w:val="28"/>
          <w:szCs w:val="28"/>
          <w:rtl/>
          <w:lang w:bidi="ar-EG"/>
        </w:rPr>
        <w:t>.</w:t>
      </w:r>
    </w:p>
    <w:p w:rsidR="00610F79" w:rsidRPr="00610F79" w:rsidRDefault="00610F79" w:rsidP="00610F79">
      <w:pPr>
        <w:spacing w:line="360" w:lineRule="auto"/>
        <w:ind w:firstLine="720"/>
        <w:jc w:val="both"/>
        <w:rPr>
          <w:rFonts w:asciiTheme="majorBidi" w:hAnsiTheme="majorBidi" w:cstheme="majorBidi"/>
          <w:sz w:val="28"/>
          <w:szCs w:val="28"/>
          <w:lang w:bidi="ar-EG"/>
        </w:rPr>
      </w:pPr>
    </w:p>
    <w:p w:rsidR="00610F79" w:rsidRPr="00610F79" w:rsidRDefault="00610F79" w:rsidP="00610F79">
      <w:pPr>
        <w:spacing w:line="360" w:lineRule="auto"/>
        <w:jc w:val="both"/>
        <w:rPr>
          <w:rFonts w:asciiTheme="majorBidi" w:hAnsiTheme="majorBidi" w:cstheme="majorBidi"/>
          <w:b/>
          <w:bCs/>
          <w:sz w:val="28"/>
          <w:szCs w:val="28"/>
          <w:lang w:bidi="ar-EG"/>
        </w:rPr>
      </w:pPr>
      <w:r w:rsidRPr="00610F79">
        <w:rPr>
          <w:rFonts w:asciiTheme="majorBidi" w:hAnsiTheme="majorBidi" w:cs="Times New Roman" w:hint="cs"/>
          <w:b/>
          <w:bCs/>
          <w:sz w:val="28"/>
          <w:szCs w:val="28"/>
          <w:rtl/>
          <w:lang w:bidi="ar-EG"/>
        </w:rPr>
        <w:lastRenderedPageBreak/>
        <w:t>وكانت</w:t>
      </w:r>
      <w:r w:rsidRPr="00610F79">
        <w:rPr>
          <w:rFonts w:asciiTheme="majorBidi" w:hAnsiTheme="majorBidi" w:cs="Times New Roman"/>
          <w:b/>
          <w:bCs/>
          <w:sz w:val="28"/>
          <w:szCs w:val="28"/>
          <w:rtl/>
          <w:lang w:bidi="ar-EG"/>
        </w:rPr>
        <w:t xml:space="preserve"> </w:t>
      </w:r>
      <w:r w:rsidRPr="00610F79">
        <w:rPr>
          <w:rFonts w:asciiTheme="majorBidi" w:hAnsiTheme="majorBidi" w:cs="Times New Roman" w:hint="cs"/>
          <w:b/>
          <w:bCs/>
          <w:sz w:val="28"/>
          <w:szCs w:val="28"/>
          <w:rtl/>
          <w:lang w:bidi="ar-EG"/>
        </w:rPr>
        <w:t>النتائج</w:t>
      </w:r>
      <w:r w:rsidRPr="00610F79">
        <w:rPr>
          <w:rFonts w:asciiTheme="majorBidi" w:hAnsiTheme="majorBidi" w:cs="Times New Roman"/>
          <w:b/>
          <w:bCs/>
          <w:sz w:val="28"/>
          <w:szCs w:val="28"/>
          <w:rtl/>
          <w:lang w:bidi="ar-EG"/>
        </w:rPr>
        <w:t xml:space="preserve"> </w:t>
      </w:r>
      <w:r w:rsidRPr="00610F79">
        <w:rPr>
          <w:rFonts w:asciiTheme="majorBidi" w:hAnsiTheme="majorBidi" w:cs="Times New Roman" w:hint="cs"/>
          <w:b/>
          <w:bCs/>
          <w:sz w:val="28"/>
          <w:szCs w:val="28"/>
          <w:rtl/>
          <w:lang w:bidi="ar-EG"/>
        </w:rPr>
        <w:t>الرئيسية</w:t>
      </w:r>
      <w:r w:rsidRPr="00610F79">
        <w:rPr>
          <w:rFonts w:asciiTheme="majorBidi" w:hAnsiTheme="majorBidi" w:cs="Times New Roman"/>
          <w:b/>
          <w:bCs/>
          <w:sz w:val="28"/>
          <w:szCs w:val="28"/>
          <w:rtl/>
          <w:lang w:bidi="ar-EG"/>
        </w:rPr>
        <w:t xml:space="preserve"> </w:t>
      </w:r>
      <w:r w:rsidRPr="00610F79">
        <w:rPr>
          <w:rFonts w:asciiTheme="majorBidi" w:hAnsiTheme="majorBidi" w:cs="Times New Roman" w:hint="cs"/>
          <w:b/>
          <w:bCs/>
          <w:sz w:val="28"/>
          <w:szCs w:val="28"/>
          <w:rtl/>
          <w:lang w:bidi="ar-EG"/>
        </w:rPr>
        <w:t>على</w:t>
      </w:r>
      <w:r w:rsidRPr="00610F79">
        <w:rPr>
          <w:rFonts w:asciiTheme="majorBidi" w:hAnsiTheme="majorBidi" w:cs="Times New Roman"/>
          <w:b/>
          <w:bCs/>
          <w:sz w:val="28"/>
          <w:szCs w:val="28"/>
          <w:rtl/>
          <w:lang w:bidi="ar-EG"/>
        </w:rPr>
        <w:t xml:space="preserve"> </w:t>
      </w:r>
      <w:r w:rsidRPr="00610F79">
        <w:rPr>
          <w:rFonts w:asciiTheme="majorBidi" w:hAnsiTheme="majorBidi" w:cs="Times New Roman" w:hint="cs"/>
          <w:b/>
          <w:bCs/>
          <w:sz w:val="28"/>
          <w:szCs w:val="28"/>
          <w:rtl/>
          <w:lang w:bidi="ar-EG"/>
        </w:rPr>
        <w:t>النحو</w:t>
      </w:r>
      <w:r w:rsidRPr="00610F79">
        <w:rPr>
          <w:rFonts w:asciiTheme="majorBidi" w:hAnsiTheme="majorBidi" w:cs="Times New Roman"/>
          <w:b/>
          <w:bCs/>
          <w:sz w:val="28"/>
          <w:szCs w:val="28"/>
          <w:rtl/>
          <w:lang w:bidi="ar-EG"/>
        </w:rPr>
        <w:t xml:space="preserve"> </w:t>
      </w:r>
      <w:r w:rsidRPr="00610F79">
        <w:rPr>
          <w:rFonts w:asciiTheme="majorBidi" w:hAnsiTheme="majorBidi" w:cs="Times New Roman" w:hint="cs"/>
          <w:b/>
          <w:bCs/>
          <w:sz w:val="28"/>
          <w:szCs w:val="28"/>
          <w:rtl/>
          <w:lang w:bidi="ar-EG"/>
        </w:rPr>
        <w:t>التالي</w:t>
      </w:r>
      <w:r w:rsidRPr="00610F79">
        <w:rPr>
          <w:rFonts w:asciiTheme="majorBidi" w:hAnsiTheme="majorBidi" w:cs="Times New Roman"/>
          <w:b/>
          <w:bCs/>
          <w:sz w:val="28"/>
          <w:szCs w:val="28"/>
          <w:rtl/>
          <w:lang w:bidi="ar-EG"/>
        </w:rPr>
        <w:t>:</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ركزت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الدراسة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على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حالات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لدى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وتحليل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خصائص</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المريض</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وأنواع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السموم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والعلامات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الحيوية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وطرق</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إزالة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التلوث</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والعلاجات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ومعايير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والارتباط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بالنتائج</w:t>
      </w:r>
      <w:r w:rsidRPr="00610F79">
        <w:rPr>
          <w:rFonts w:asciiTheme="majorBidi" w:hAnsiTheme="majorBidi" w:cs="Times New Roman"/>
          <w:sz w:val="28"/>
          <w:szCs w:val="28"/>
          <w:rtl/>
          <w:lang w:bidi="ar-EG"/>
        </w:rPr>
        <w:t>.</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متوسط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عمر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المريض</w:t>
      </w:r>
      <w:r w:rsidRPr="00610F79">
        <w:rPr>
          <w:rFonts w:asciiTheme="majorBidi" w:hAnsiTheme="majorBidi" w:cs="Times New Roman"/>
          <w:sz w:val="28"/>
          <w:szCs w:val="28"/>
          <w:rtl/>
          <w:lang w:bidi="ar-EG"/>
        </w:rPr>
        <w:t xml:space="preserve">: 3.78 </w:t>
      </w:r>
      <w:r w:rsidRPr="00610F79">
        <w:rPr>
          <w:rFonts w:asciiTheme="majorBidi" w:hAnsiTheme="majorBidi" w:cs="Times New Roman" w:hint="cs"/>
          <w:sz w:val="28"/>
          <w:szCs w:val="28"/>
          <w:rtl/>
          <w:lang w:bidi="ar-EG"/>
        </w:rPr>
        <w:t>سنة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الفئات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العمرية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الرضع</w:t>
      </w:r>
      <w:r w:rsidRPr="00610F79">
        <w:rPr>
          <w:rFonts w:asciiTheme="majorBidi" w:hAnsiTheme="majorBidi" w:cs="Times New Roman"/>
          <w:sz w:val="28"/>
          <w:szCs w:val="28"/>
          <w:rtl/>
          <w:lang w:bidi="ar-EG"/>
        </w:rPr>
        <w:t xml:space="preserve"> (39٪)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الصغار</w:t>
      </w:r>
      <w:r w:rsidRPr="00610F79">
        <w:rPr>
          <w:rFonts w:asciiTheme="majorBidi" w:hAnsiTheme="majorBidi" w:cs="Times New Roman"/>
          <w:sz w:val="28"/>
          <w:szCs w:val="28"/>
          <w:rtl/>
          <w:lang w:bidi="ar-EG"/>
        </w:rPr>
        <w:t xml:space="preserve"> (32٪)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مرحلة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قبل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المدرسة</w:t>
      </w:r>
      <w:r w:rsidRPr="00610F79">
        <w:rPr>
          <w:rFonts w:asciiTheme="majorBidi" w:hAnsiTheme="majorBidi" w:cs="Times New Roman"/>
          <w:sz w:val="28"/>
          <w:szCs w:val="28"/>
          <w:rtl/>
          <w:lang w:bidi="ar-EG"/>
        </w:rPr>
        <w:t xml:space="preserve"> (12٪)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سن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المدرسة</w:t>
      </w:r>
      <w:r w:rsidRPr="00610F79">
        <w:rPr>
          <w:rFonts w:asciiTheme="majorBidi" w:hAnsiTheme="majorBidi" w:cs="Times New Roman"/>
          <w:sz w:val="28"/>
          <w:szCs w:val="28"/>
          <w:rtl/>
          <w:lang w:bidi="ar-EG"/>
        </w:rPr>
        <w:t xml:space="preserve"> (7٪)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المراهقون</w:t>
      </w:r>
      <w:r w:rsidRPr="00610F79">
        <w:rPr>
          <w:rFonts w:asciiTheme="majorBidi" w:hAnsiTheme="majorBidi" w:cs="Times New Roman"/>
          <w:sz w:val="28"/>
          <w:szCs w:val="28"/>
          <w:rtl/>
          <w:lang w:bidi="ar-EG"/>
        </w:rPr>
        <w:t xml:space="preserve"> (10٪).</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التوزيع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الجنساني</w:t>
      </w:r>
      <w:r w:rsidRPr="00610F79">
        <w:rPr>
          <w:rFonts w:asciiTheme="majorBidi" w:hAnsiTheme="majorBidi" w:cs="Times New Roman"/>
          <w:sz w:val="28"/>
          <w:szCs w:val="28"/>
          <w:rtl/>
          <w:lang w:bidi="ar-EG"/>
        </w:rPr>
        <w:t xml:space="preserve">: 67٪ </w:t>
      </w:r>
      <w:r w:rsidRPr="00610F79">
        <w:rPr>
          <w:rFonts w:asciiTheme="majorBidi" w:hAnsiTheme="majorBidi" w:cs="Times New Roman" w:hint="cs"/>
          <w:sz w:val="28"/>
          <w:szCs w:val="28"/>
          <w:rtl/>
          <w:lang w:bidi="ar-EG"/>
        </w:rPr>
        <w:t>إناث</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33٪ </w:t>
      </w:r>
      <w:r w:rsidRPr="00610F79">
        <w:rPr>
          <w:rFonts w:asciiTheme="majorBidi" w:hAnsiTheme="majorBidi" w:cs="Times New Roman" w:hint="cs"/>
          <w:sz w:val="28"/>
          <w:szCs w:val="28"/>
          <w:rtl/>
          <w:lang w:bidi="ar-EG"/>
        </w:rPr>
        <w:t>ذكور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متوسط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الوزن</w:t>
      </w:r>
      <w:r w:rsidRPr="00610F79">
        <w:rPr>
          <w:rFonts w:asciiTheme="majorBidi" w:hAnsiTheme="majorBidi" w:cs="Times New Roman"/>
          <w:sz w:val="28"/>
          <w:szCs w:val="28"/>
          <w:rtl/>
          <w:lang w:bidi="ar-EG"/>
        </w:rPr>
        <w:t xml:space="preserve">: 15.78 </w:t>
      </w:r>
      <w:r w:rsidRPr="00610F79">
        <w:rPr>
          <w:rFonts w:asciiTheme="majorBidi" w:hAnsiTheme="majorBidi" w:cs="Times New Roman" w:hint="cs"/>
          <w:sz w:val="28"/>
          <w:szCs w:val="28"/>
          <w:rtl/>
          <w:lang w:bidi="ar-EG"/>
        </w:rPr>
        <w:t>كجم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المسكن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الحضري</w:t>
      </w:r>
      <w:r w:rsidRPr="00610F79">
        <w:rPr>
          <w:rFonts w:asciiTheme="majorBidi" w:hAnsiTheme="majorBidi" w:cs="Times New Roman"/>
          <w:sz w:val="28"/>
          <w:szCs w:val="28"/>
          <w:rtl/>
          <w:lang w:bidi="ar-EG"/>
        </w:rPr>
        <w:t xml:space="preserve">: 59٪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الريف</w:t>
      </w:r>
      <w:r w:rsidRPr="00610F79">
        <w:rPr>
          <w:rFonts w:asciiTheme="majorBidi" w:hAnsiTheme="majorBidi" w:cs="Times New Roman"/>
          <w:sz w:val="28"/>
          <w:szCs w:val="28"/>
          <w:rtl/>
          <w:lang w:bidi="ar-EG"/>
        </w:rPr>
        <w:t>: 41٪.</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التأخير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ودخول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المستشفى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ساعة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واحدة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المتوسط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المدى</w:t>
      </w:r>
      <w:r w:rsidRPr="00610F79">
        <w:rPr>
          <w:rFonts w:asciiTheme="majorBidi" w:hAnsiTheme="majorBidi" w:cs="Times New Roman"/>
          <w:sz w:val="28"/>
          <w:szCs w:val="28"/>
          <w:rtl/>
          <w:lang w:bidi="ar-EG"/>
        </w:rPr>
        <w:t xml:space="preserve">: 0.5 - 3 </w:t>
      </w:r>
      <w:r w:rsidRPr="00610F79">
        <w:rPr>
          <w:rFonts w:asciiTheme="majorBidi" w:hAnsiTheme="majorBidi" w:cs="Times New Roman" w:hint="cs"/>
          <w:sz w:val="28"/>
          <w:szCs w:val="28"/>
          <w:rtl/>
          <w:lang w:bidi="ar-EG"/>
        </w:rPr>
        <w:t>ساعات</w:t>
      </w:r>
      <w:r w:rsidRPr="00610F79">
        <w:rPr>
          <w:rFonts w:asciiTheme="majorBidi" w:hAnsiTheme="majorBidi" w:cs="Times New Roman"/>
          <w:sz w:val="28"/>
          <w:szCs w:val="28"/>
          <w:rtl/>
          <w:lang w:bidi="ar-EG"/>
        </w:rPr>
        <w:t>).</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أنواع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السموم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أدوية</w:t>
      </w:r>
      <w:r w:rsidRPr="00610F79">
        <w:rPr>
          <w:rFonts w:asciiTheme="majorBidi" w:hAnsiTheme="majorBidi" w:cs="Times New Roman"/>
          <w:sz w:val="28"/>
          <w:szCs w:val="28"/>
          <w:rtl/>
          <w:lang w:bidi="ar-EG"/>
        </w:rPr>
        <w:t xml:space="preserve"> / </w:t>
      </w:r>
      <w:r w:rsidRPr="00610F79">
        <w:rPr>
          <w:rFonts w:asciiTheme="majorBidi" w:hAnsiTheme="majorBidi" w:cs="Times New Roman" w:hint="cs"/>
          <w:sz w:val="28"/>
          <w:szCs w:val="28"/>
          <w:rtl/>
          <w:lang w:bidi="ar-EG"/>
        </w:rPr>
        <w:t>عقاقير</w:t>
      </w:r>
      <w:r w:rsidRPr="00610F79">
        <w:rPr>
          <w:rFonts w:asciiTheme="majorBidi" w:hAnsiTheme="majorBidi" w:cs="Times New Roman"/>
          <w:sz w:val="28"/>
          <w:szCs w:val="28"/>
          <w:rtl/>
          <w:lang w:bidi="ar-EG"/>
        </w:rPr>
        <w:t xml:space="preserve"> (33٪)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مواد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سامة</w:t>
      </w:r>
      <w:r w:rsidRPr="00610F79">
        <w:rPr>
          <w:rFonts w:asciiTheme="majorBidi" w:hAnsiTheme="majorBidi" w:cs="Times New Roman"/>
          <w:sz w:val="28"/>
          <w:szCs w:val="28"/>
          <w:rtl/>
          <w:lang w:bidi="ar-EG"/>
        </w:rPr>
        <w:t xml:space="preserve"> / </w:t>
      </w:r>
      <w:r w:rsidRPr="00610F79">
        <w:rPr>
          <w:rFonts w:asciiTheme="majorBidi" w:hAnsiTheme="majorBidi" w:cs="Times New Roman" w:hint="cs"/>
          <w:sz w:val="28"/>
          <w:szCs w:val="28"/>
          <w:rtl/>
          <w:lang w:bidi="ar-EG"/>
        </w:rPr>
        <w:t>سامة</w:t>
      </w:r>
      <w:r w:rsidRPr="00610F79">
        <w:rPr>
          <w:rFonts w:asciiTheme="majorBidi" w:hAnsiTheme="majorBidi" w:cs="Times New Roman"/>
          <w:sz w:val="28"/>
          <w:szCs w:val="28"/>
          <w:rtl/>
          <w:lang w:bidi="ar-EG"/>
        </w:rPr>
        <w:t xml:space="preserve"> (14٪)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مواد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كيماوية</w:t>
      </w:r>
      <w:r w:rsidRPr="00610F79">
        <w:rPr>
          <w:rFonts w:asciiTheme="majorBidi" w:hAnsiTheme="majorBidi" w:cs="Times New Roman"/>
          <w:sz w:val="28"/>
          <w:szCs w:val="28"/>
          <w:rtl/>
          <w:lang w:bidi="ar-EG"/>
        </w:rPr>
        <w:t xml:space="preserve"> (53٪).</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مواد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الشائعة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الأدوية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المضادة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للذهان</w:t>
      </w:r>
      <w:r w:rsidRPr="00610F79">
        <w:rPr>
          <w:rFonts w:asciiTheme="majorBidi" w:hAnsiTheme="majorBidi" w:cs="Times New Roman"/>
          <w:sz w:val="28"/>
          <w:szCs w:val="28"/>
          <w:rtl/>
          <w:lang w:bidi="ar-EG"/>
        </w:rPr>
        <w:t xml:space="preserve"> (7٪)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كلوزابكس</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بارز</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ديباكين</w:t>
      </w:r>
      <w:r w:rsidRPr="00610F79">
        <w:rPr>
          <w:rFonts w:asciiTheme="majorBidi" w:hAnsiTheme="majorBidi" w:cs="Times New Roman"/>
          <w:sz w:val="28"/>
          <w:szCs w:val="28"/>
          <w:rtl/>
          <w:lang w:bidi="ar-EG"/>
        </w:rPr>
        <w:t xml:space="preserve"> (7٪)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إندرال</w:t>
      </w:r>
      <w:r w:rsidRPr="00610F79">
        <w:rPr>
          <w:rFonts w:asciiTheme="majorBidi" w:hAnsiTheme="majorBidi" w:cs="Times New Roman"/>
          <w:sz w:val="28"/>
          <w:szCs w:val="28"/>
          <w:rtl/>
          <w:lang w:bidi="ar-EG"/>
        </w:rPr>
        <w:t xml:space="preserve"> (6٪)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المواد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المسببة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للتآكل</w:t>
      </w:r>
      <w:r w:rsidRPr="00610F79">
        <w:rPr>
          <w:rFonts w:asciiTheme="majorBidi" w:hAnsiTheme="majorBidi" w:cs="Times New Roman"/>
          <w:sz w:val="28"/>
          <w:szCs w:val="28"/>
          <w:rtl/>
          <w:lang w:bidi="ar-EG"/>
        </w:rPr>
        <w:t xml:space="preserve"> / </w:t>
      </w:r>
      <w:r w:rsidRPr="00610F79">
        <w:rPr>
          <w:rFonts w:asciiTheme="majorBidi" w:hAnsiTheme="majorBidi" w:cs="Times New Roman" w:hint="cs"/>
          <w:sz w:val="28"/>
          <w:szCs w:val="28"/>
          <w:rtl/>
          <w:lang w:bidi="ar-EG"/>
        </w:rPr>
        <w:t>الكاوية</w:t>
      </w:r>
      <w:r w:rsidRPr="00610F79">
        <w:rPr>
          <w:rFonts w:asciiTheme="majorBidi" w:hAnsiTheme="majorBidi" w:cs="Times New Roman"/>
          <w:sz w:val="28"/>
          <w:szCs w:val="28"/>
          <w:rtl/>
          <w:lang w:bidi="ar-EG"/>
        </w:rPr>
        <w:t xml:space="preserve"> (7٪)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الفينول</w:t>
      </w:r>
      <w:r w:rsidRPr="00610F79">
        <w:rPr>
          <w:rFonts w:asciiTheme="majorBidi" w:hAnsiTheme="majorBidi" w:cs="Times New Roman"/>
          <w:sz w:val="28"/>
          <w:szCs w:val="28"/>
          <w:rtl/>
          <w:lang w:bidi="ar-EG"/>
        </w:rPr>
        <w:t xml:space="preserve"> (7٪)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كلوريكس</w:t>
      </w:r>
      <w:r w:rsidRPr="00610F79">
        <w:rPr>
          <w:rFonts w:asciiTheme="majorBidi" w:hAnsiTheme="majorBidi" w:cs="Times New Roman"/>
          <w:sz w:val="28"/>
          <w:szCs w:val="28"/>
          <w:rtl/>
          <w:lang w:bidi="ar-EG"/>
        </w:rPr>
        <w:t xml:space="preserve"> (5٪)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الحشيش</w:t>
      </w:r>
      <w:r w:rsidRPr="00610F79">
        <w:rPr>
          <w:rFonts w:asciiTheme="majorBidi" w:hAnsiTheme="majorBidi" w:cs="Times New Roman"/>
          <w:sz w:val="28"/>
          <w:szCs w:val="28"/>
          <w:rtl/>
          <w:lang w:bidi="ar-EG"/>
        </w:rPr>
        <w:t xml:space="preserve"> (8٪)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الغذائي</w:t>
      </w:r>
      <w:r w:rsidRPr="00610F79">
        <w:rPr>
          <w:rFonts w:asciiTheme="majorBidi" w:hAnsiTheme="majorBidi" w:cs="Times New Roman"/>
          <w:sz w:val="28"/>
          <w:szCs w:val="28"/>
          <w:rtl/>
          <w:lang w:bidi="ar-EG"/>
        </w:rPr>
        <w:t xml:space="preserve"> (3٪)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PPD</w:t>
      </w:r>
      <w:r w:rsidRPr="00610F79">
        <w:rPr>
          <w:rFonts w:asciiTheme="majorBidi" w:hAnsiTheme="majorBidi" w:cs="Times New Roman"/>
          <w:sz w:val="28"/>
          <w:szCs w:val="28"/>
          <w:rtl/>
          <w:lang w:bidi="ar-EG"/>
        </w:rPr>
        <w:t xml:space="preserve"> (3٪)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مكملات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الحديد</w:t>
      </w:r>
      <w:r w:rsidRPr="00610F79">
        <w:rPr>
          <w:rFonts w:asciiTheme="majorBidi" w:hAnsiTheme="majorBidi" w:cs="Times New Roman"/>
          <w:sz w:val="28"/>
          <w:szCs w:val="28"/>
          <w:rtl/>
          <w:lang w:bidi="ar-EG"/>
        </w:rPr>
        <w:t xml:space="preserve"> (6٪)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مبيدات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القوارض</w:t>
      </w:r>
      <w:r w:rsidRPr="00610F79">
        <w:rPr>
          <w:rFonts w:asciiTheme="majorBidi" w:hAnsiTheme="majorBidi" w:cs="Times New Roman"/>
          <w:sz w:val="28"/>
          <w:szCs w:val="28"/>
          <w:rtl/>
          <w:lang w:bidi="ar-EG"/>
        </w:rPr>
        <w:t xml:space="preserve"> (7٪)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المبيدات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الحشرية</w:t>
      </w:r>
      <w:r w:rsidRPr="00610F79">
        <w:rPr>
          <w:rFonts w:asciiTheme="majorBidi" w:hAnsiTheme="majorBidi" w:cs="Times New Roman"/>
          <w:sz w:val="28"/>
          <w:szCs w:val="28"/>
          <w:rtl/>
          <w:lang w:bidi="ar-EG"/>
        </w:rPr>
        <w:t xml:space="preserve"> (6٪).</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العلامات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الحيوية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معدل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ضربات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القلب</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(HR): 58-160</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نبضة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الدقيقة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المتوسط</w:t>
      </w:r>
      <w:r w:rsidRPr="00610F79">
        <w:rPr>
          <w:rFonts w:asciiTheme="majorBidi" w:hAnsiTheme="majorBidi" w:cs="Times New Roman"/>
          <w:sz w:val="28"/>
          <w:szCs w:val="28"/>
          <w:rtl/>
          <w:lang w:bidi="ar-EG"/>
        </w:rPr>
        <w:t xml:space="preserve">: 93 </w:t>
      </w:r>
      <w:r w:rsidRPr="00610F79">
        <w:rPr>
          <w:rFonts w:asciiTheme="majorBidi" w:hAnsiTheme="majorBidi" w:cs="Times New Roman" w:hint="cs"/>
          <w:sz w:val="28"/>
          <w:szCs w:val="28"/>
          <w:rtl/>
          <w:lang w:bidi="ar-EG"/>
        </w:rPr>
        <w:t>نبضة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الدقيقة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معدل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التنفس</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(RR): 14-46</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نفسًا</w:t>
      </w:r>
      <w:r w:rsidRPr="00610F79">
        <w:rPr>
          <w:rFonts w:asciiTheme="majorBidi" w:hAnsiTheme="majorBidi" w:cs="Times New Roman"/>
          <w:sz w:val="28"/>
          <w:szCs w:val="28"/>
          <w:rtl/>
          <w:lang w:bidi="ar-EG"/>
        </w:rPr>
        <w:t xml:space="preserve"> / </w:t>
      </w:r>
      <w:r w:rsidRPr="00610F79">
        <w:rPr>
          <w:rFonts w:asciiTheme="majorBidi" w:hAnsiTheme="majorBidi" w:cs="Times New Roman" w:hint="cs"/>
          <w:sz w:val="28"/>
          <w:szCs w:val="28"/>
          <w:rtl/>
          <w:lang w:bidi="ar-EG"/>
        </w:rPr>
        <w:t>دقيقة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المتوسط</w:t>
      </w:r>
      <w:r w:rsidRPr="00610F79">
        <w:rPr>
          <w:rFonts w:asciiTheme="majorBidi" w:hAnsiTheme="majorBidi" w:cs="Times New Roman"/>
          <w:sz w:val="28"/>
          <w:szCs w:val="28"/>
          <w:rtl/>
          <w:lang w:bidi="ar-EG"/>
        </w:rPr>
        <w:t xml:space="preserve">: 26 </w:t>
      </w:r>
      <w:r w:rsidRPr="00610F79">
        <w:rPr>
          <w:rFonts w:asciiTheme="majorBidi" w:hAnsiTheme="majorBidi" w:cs="Times New Roman" w:hint="cs"/>
          <w:sz w:val="28"/>
          <w:szCs w:val="28"/>
          <w:rtl/>
          <w:lang w:bidi="ar-EG"/>
        </w:rPr>
        <w:t>نفسًا</w:t>
      </w:r>
      <w:r w:rsidRPr="00610F79">
        <w:rPr>
          <w:rFonts w:asciiTheme="majorBidi" w:hAnsiTheme="majorBidi" w:cs="Times New Roman"/>
          <w:sz w:val="28"/>
          <w:szCs w:val="28"/>
          <w:rtl/>
          <w:lang w:bidi="ar-EG"/>
        </w:rPr>
        <w:t xml:space="preserve"> / </w:t>
      </w:r>
      <w:r w:rsidRPr="00610F79">
        <w:rPr>
          <w:rFonts w:asciiTheme="majorBidi" w:hAnsiTheme="majorBidi" w:cs="Times New Roman" w:hint="cs"/>
          <w:sz w:val="28"/>
          <w:szCs w:val="28"/>
          <w:rtl/>
          <w:lang w:bidi="ar-EG"/>
        </w:rPr>
        <w:t>دقيقة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ضغط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الانقباضي</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(SBP): 67 -125</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زئبق</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المتوسط</w:t>
      </w:r>
      <w:r w:rsidRPr="00610F79">
        <w:rPr>
          <w:rFonts w:asciiTheme="majorBidi" w:hAnsiTheme="majorBidi" w:cs="Times New Roman"/>
          <w:sz w:val="28"/>
          <w:szCs w:val="28"/>
          <w:rtl/>
          <w:lang w:bidi="ar-EG"/>
        </w:rPr>
        <w:t xml:space="preserve">: 93 </w:t>
      </w:r>
      <w:r w:rsidRPr="00610F79">
        <w:rPr>
          <w:rFonts w:asciiTheme="majorBidi" w:hAnsiTheme="majorBidi" w:cs="Times New Roman" w:hint="cs"/>
          <w:sz w:val="28"/>
          <w:szCs w:val="28"/>
          <w:rtl/>
          <w:lang w:bidi="ar-EG"/>
        </w:rPr>
        <w:t>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زئبق</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ضغط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الانبساطي</w:t>
      </w:r>
      <w:r w:rsidRPr="00610F79">
        <w:rPr>
          <w:rFonts w:asciiTheme="majorBidi" w:hAnsiTheme="majorBidi" w:cs="Times New Roman"/>
          <w:sz w:val="28"/>
          <w:szCs w:val="28"/>
          <w:rtl/>
          <w:lang w:bidi="ar-EG"/>
        </w:rPr>
        <w:t xml:space="preserve">: 26-76 </w:t>
      </w:r>
      <w:r w:rsidRPr="00610F79">
        <w:rPr>
          <w:rFonts w:asciiTheme="majorBidi" w:hAnsiTheme="majorBidi" w:cs="Times New Roman" w:hint="cs"/>
          <w:sz w:val="28"/>
          <w:szCs w:val="28"/>
          <w:rtl/>
          <w:lang w:bidi="ar-EG"/>
        </w:rPr>
        <w:t>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زئبق</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المتوسط</w:t>
      </w:r>
      <w:r w:rsidRPr="00610F79">
        <w:rPr>
          <w:rFonts w:asciiTheme="majorBidi" w:hAnsiTheme="majorBidi" w:cs="Times New Roman"/>
          <w:sz w:val="28"/>
          <w:szCs w:val="28"/>
          <w:rtl/>
          <w:lang w:bidi="ar-EG"/>
        </w:rPr>
        <w:t xml:space="preserve">: 56 </w:t>
      </w:r>
      <w:r w:rsidRPr="00610F79">
        <w:rPr>
          <w:rFonts w:asciiTheme="majorBidi" w:hAnsiTheme="majorBidi" w:cs="Times New Roman" w:hint="cs"/>
          <w:sz w:val="28"/>
          <w:szCs w:val="28"/>
          <w:rtl/>
          <w:lang w:bidi="ar-EG"/>
        </w:rPr>
        <w:t>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زئبق</w:t>
      </w:r>
      <w:r w:rsidRPr="00610F79">
        <w:rPr>
          <w:rFonts w:asciiTheme="majorBidi" w:hAnsiTheme="majorBidi" w:cs="Times New Roman"/>
          <w:sz w:val="28"/>
          <w:szCs w:val="28"/>
          <w:rtl/>
          <w:lang w:bidi="ar-EG"/>
        </w:rPr>
        <w:t>).</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الأعراض</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الشائعة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انخفاض</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ضغط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الدم</w:t>
      </w:r>
      <w:r w:rsidRPr="00610F79">
        <w:rPr>
          <w:rFonts w:asciiTheme="majorBidi" w:hAnsiTheme="majorBidi" w:cs="Times New Roman"/>
          <w:sz w:val="28"/>
          <w:szCs w:val="28"/>
          <w:rtl/>
          <w:lang w:bidi="ar-EG"/>
        </w:rPr>
        <w:t xml:space="preserve"> (25٪)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بطء</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القلب</w:t>
      </w:r>
      <w:r w:rsidRPr="00610F79">
        <w:rPr>
          <w:rFonts w:asciiTheme="majorBidi" w:hAnsiTheme="majorBidi" w:cs="Times New Roman"/>
          <w:sz w:val="28"/>
          <w:szCs w:val="28"/>
          <w:rtl/>
          <w:lang w:bidi="ar-EG"/>
        </w:rPr>
        <w:t xml:space="preserve"> (5٪)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ضيق</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التنفس</w:t>
      </w:r>
      <w:r w:rsidRPr="00610F79">
        <w:rPr>
          <w:rFonts w:asciiTheme="majorBidi" w:hAnsiTheme="majorBidi" w:cs="Times New Roman"/>
          <w:sz w:val="28"/>
          <w:szCs w:val="28"/>
          <w:rtl/>
          <w:lang w:bidi="ar-EG"/>
        </w:rPr>
        <w:t xml:space="preserve"> (49٪)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قيء</w:t>
      </w:r>
      <w:r w:rsidRPr="00610F79">
        <w:rPr>
          <w:rFonts w:asciiTheme="majorBidi" w:hAnsiTheme="majorBidi" w:cs="Times New Roman"/>
          <w:sz w:val="28"/>
          <w:szCs w:val="28"/>
          <w:rtl/>
          <w:lang w:bidi="ar-EG"/>
        </w:rPr>
        <w:t xml:space="preserve"> (38٪)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أعراض</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عصبية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مختلفة</w:t>
      </w:r>
      <w:r w:rsidRPr="00610F79">
        <w:rPr>
          <w:rFonts w:asciiTheme="majorBidi" w:hAnsiTheme="majorBidi" w:cs="Times New Roman"/>
          <w:sz w:val="28"/>
          <w:szCs w:val="28"/>
          <w:rtl/>
          <w:lang w:bidi="ar-EG"/>
        </w:rPr>
        <w:t>.</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التطهير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غسيل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المعدة</w:t>
      </w:r>
      <w:r w:rsidRPr="00610F79">
        <w:rPr>
          <w:rFonts w:asciiTheme="majorBidi" w:hAnsiTheme="majorBidi" w:cs="Times New Roman"/>
          <w:sz w:val="28"/>
          <w:szCs w:val="28"/>
          <w:rtl/>
          <w:lang w:bidi="ar-EG"/>
        </w:rPr>
        <w:t xml:space="preserve"> (77٪)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التخفيف</w:t>
      </w:r>
      <w:r w:rsidRPr="00610F79">
        <w:rPr>
          <w:rFonts w:asciiTheme="majorBidi" w:hAnsiTheme="majorBidi" w:cs="Times New Roman"/>
          <w:sz w:val="28"/>
          <w:szCs w:val="28"/>
          <w:rtl/>
          <w:lang w:bidi="ar-EG"/>
        </w:rPr>
        <w:t xml:space="preserve"> (22٪).</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علاجات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الترياق</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الفحم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المنشط</w:t>
      </w:r>
      <w:r w:rsidRPr="00610F79">
        <w:rPr>
          <w:rFonts w:asciiTheme="majorBidi" w:hAnsiTheme="majorBidi" w:cs="Times New Roman"/>
          <w:sz w:val="28"/>
          <w:szCs w:val="28"/>
          <w:rtl/>
          <w:lang w:bidi="ar-EG"/>
        </w:rPr>
        <w:t xml:space="preserve"> (5٪)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مضاد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سم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البوتوليوم</w:t>
      </w:r>
      <w:r w:rsidRPr="00610F79">
        <w:rPr>
          <w:rFonts w:asciiTheme="majorBidi" w:hAnsiTheme="majorBidi" w:cs="Times New Roman"/>
          <w:sz w:val="28"/>
          <w:szCs w:val="28"/>
          <w:rtl/>
          <w:lang w:bidi="ar-EG"/>
        </w:rPr>
        <w:t xml:space="preserve"> (6٪)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الأتروبين</w:t>
      </w:r>
      <w:r w:rsidRPr="00610F79">
        <w:rPr>
          <w:rFonts w:asciiTheme="majorBidi" w:hAnsiTheme="majorBidi" w:cs="Times New Roman"/>
          <w:sz w:val="28"/>
          <w:szCs w:val="28"/>
          <w:rtl/>
          <w:lang w:bidi="ar-EG"/>
        </w:rPr>
        <w:t xml:space="preserve"> (17٪)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ديفروكسامين</w:t>
      </w:r>
      <w:r w:rsidRPr="00610F79">
        <w:rPr>
          <w:rFonts w:asciiTheme="majorBidi" w:hAnsiTheme="majorBidi" w:cs="Times New Roman"/>
          <w:sz w:val="28"/>
          <w:szCs w:val="28"/>
          <w:rtl/>
          <w:lang w:bidi="ar-EG"/>
        </w:rPr>
        <w:t xml:space="preserve"> (5٪)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بياض</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البيض</w:t>
      </w:r>
      <w:r w:rsidRPr="00610F79">
        <w:rPr>
          <w:rFonts w:asciiTheme="majorBidi" w:hAnsiTheme="majorBidi" w:cs="Times New Roman"/>
          <w:sz w:val="28"/>
          <w:szCs w:val="28"/>
          <w:rtl/>
          <w:lang w:bidi="ar-EG"/>
        </w:rPr>
        <w:t xml:space="preserve"> (5٪).</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علاج</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الأعراض</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المنشطات</w:t>
      </w:r>
      <w:r w:rsidRPr="00610F79">
        <w:rPr>
          <w:rFonts w:asciiTheme="majorBidi" w:hAnsiTheme="majorBidi" w:cs="Times New Roman"/>
          <w:sz w:val="28"/>
          <w:szCs w:val="28"/>
          <w:rtl/>
          <w:lang w:bidi="ar-EG"/>
        </w:rPr>
        <w:t xml:space="preserve"> (22٪)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علاج</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الأعراض</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العامة</w:t>
      </w:r>
      <w:r w:rsidRPr="00610F79">
        <w:rPr>
          <w:rFonts w:asciiTheme="majorBidi" w:hAnsiTheme="majorBidi" w:cs="Times New Roman"/>
          <w:sz w:val="28"/>
          <w:szCs w:val="28"/>
          <w:rtl/>
          <w:lang w:bidi="ar-EG"/>
        </w:rPr>
        <w:t xml:space="preserve"> (6٪).</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المضادات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الحيوية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تستخدم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60٪ </w:t>
      </w:r>
      <w:r w:rsidRPr="00610F79">
        <w:rPr>
          <w:rFonts w:asciiTheme="majorBidi" w:hAnsiTheme="majorBidi" w:cs="Times New Roman" w:hint="cs"/>
          <w:sz w:val="28"/>
          <w:szCs w:val="28"/>
          <w:rtl/>
          <w:lang w:bidi="ar-EG"/>
        </w:rPr>
        <w:t>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الحالات</w:t>
      </w:r>
      <w:r w:rsidRPr="00610F79">
        <w:rPr>
          <w:rFonts w:asciiTheme="majorBidi" w:hAnsiTheme="majorBidi" w:cs="Times New Roman"/>
          <w:sz w:val="28"/>
          <w:szCs w:val="28"/>
          <w:rtl/>
          <w:lang w:bidi="ar-EG"/>
        </w:rPr>
        <w:t>.</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معلمات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ضمن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النطاقات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الطبيعية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الهيموغلوبين</w:t>
      </w:r>
      <w:r w:rsidRPr="00610F79">
        <w:rPr>
          <w:rFonts w:asciiTheme="majorBidi" w:hAnsiTheme="majorBidi" w:cs="Times New Roman"/>
          <w:sz w:val="28"/>
          <w:szCs w:val="28"/>
          <w:rtl/>
          <w:lang w:bidi="ar-EG"/>
        </w:rPr>
        <w:t xml:space="preserve"> (</w:t>
      </w:r>
      <w:proofErr w:type="spellStart"/>
      <w:r w:rsidRPr="00610F79">
        <w:rPr>
          <w:rFonts w:asciiTheme="majorBidi" w:hAnsiTheme="majorBidi" w:cstheme="majorBidi"/>
          <w:sz w:val="28"/>
          <w:szCs w:val="28"/>
          <w:lang w:bidi="ar-EG"/>
        </w:rPr>
        <w:t>Hb</w:t>
      </w:r>
      <w:proofErr w:type="spellEnd"/>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عدد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خلايا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البيضاء</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WBCs</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عدد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خلايا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الحمراء</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RBCs</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متوسط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حجم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الجسم</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MCV</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متوسط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الهيموغلوبين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lastRenderedPageBreak/>
        <w:t>العضلي</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MCH</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الرقم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الهيدروجيني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الضغط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الجزئي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للأكسجين</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(PaO2)</w:t>
      </w:r>
      <w:r w:rsidRPr="00610F79">
        <w:rPr>
          <w:rFonts w:asciiTheme="majorBidi" w:hAnsiTheme="majorBidi" w:cs="Times New Roman"/>
          <w:sz w:val="28"/>
          <w:szCs w:val="28"/>
          <w:rtl/>
          <w:lang w:bidi="ar-EG"/>
        </w:rPr>
        <w:t xml:space="preserve"> )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الضغط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الجزئي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لثاني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أكسيد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الكربون</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PaCO2</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البيكربونات</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HCO3</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الكرياتينين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نيتروجين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اليوريا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الدم</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BUN</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إنزيمات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الكبد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البيليروبين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الكلي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الصوديوم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البوتاسيوم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الكالسيوم</w:t>
      </w:r>
      <w:r w:rsidRPr="00610F79">
        <w:rPr>
          <w:rFonts w:asciiTheme="majorBidi" w:hAnsiTheme="majorBidi" w:cs="Times New Roman"/>
          <w:sz w:val="28"/>
          <w:szCs w:val="28"/>
          <w:rtl/>
          <w:lang w:bidi="ar-EG"/>
        </w:rPr>
        <w:t>.</w:t>
      </w:r>
    </w:p>
    <w:p w:rsidR="00610F79"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lang w:bidi="ar-EG"/>
        </w:rPr>
      </w:pPr>
      <w:r w:rsidRPr="00610F79">
        <w:rPr>
          <w:rFonts w:asciiTheme="majorBidi" w:hAnsiTheme="majorBidi" w:cs="Times New Roman" w:hint="cs"/>
          <w:sz w:val="28"/>
          <w:szCs w:val="28"/>
          <w:rtl/>
          <w:lang w:bidi="ar-EG"/>
        </w:rPr>
        <w:t>القبول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وحدة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العناية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المركزة</w:t>
      </w:r>
      <w:r w:rsidRPr="00610F79">
        <w:rPr>
          <w:rFonts w:asciiTheme="majorBidi" w:hAnsiTheme="majorBidi" w:cs="Times New Roman"/>
          <w:sz w:val="28"/>
          <w:szCs w:val="28"/>
          <w:rtl/>
          <w:lang w:bidi="ar-EG"/>
        </w:rPr>
        <w:t xml:space="preserve">: 44٪ </w:t>
      </w:r>
      <w:r w:rsidRPr="00610F79">
        <w:rPr>
          <w:rFonts w:asciiTheme="majorBidi" w:hAnsiTheme="majorBidi" w:cs="Times New Roman" w:hint="cs"/>
          <w:sz w:val="28"/>
          <w:szCs w:val="28"/>
          <w:rtl/>
          <w:lang w:bidi="ar-EG"/>
        </w:rPr>
        <w:t>مطلوب</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متوسط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الإقامة</w:t>
      </w:r>
      <w:r w:rsidRPr="00610F79">
        <w:rPr>
          <w:rFonts w:asciiTheme="majorBidi" w:hAnsiTheme="majorBidi" w:cs="Times New Roman"/>
          <w:sz w:val="28"/>
          <w:szCs w:val="28"/>
          <w:rtl/>
          <w:lang w:bidi="ar-EG"/>
        </w:rPr>
        <w:t xml:space="preserve">: 2.14 </w:t>
      </w:r>
      <w:r w:rsidRPr="00610F79">
        <w:rPr>
          <w:rFonts w:asciiTheme="majorBidi" w:hAnsiTheme="majorBidi" w:cs="Times New Roman" w:hint="cs"/>
          <w:sz w:val="28"/>
          <w:szCs w:val="28"/>
          <w:rtl/>
          <w:lang w:bidi="ar-EG"/>
        </w:rPr>
        <w:t>يوم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البقاء</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في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قسم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طب</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الأطفال</w:t>
      </w:r>
      <w:r w:rsidRPr="00610F79">
        <w:rPr>
          <w:rFonts w:asciiTheme="majorBidi" w:hAnsiTheme="majorBidi" w:cs="Times New Roman"/>
          <w:sz w:val="28"/>
          <w:szCs w:val="28"/>
          <w:rtl/>
          <w:lang w:bidi="ar-EG"/>
        </w:rPr>
        <w:t xml:space="preserve">: 1.69 </w:t>
      </w:r>
      <w:r w:rsidRPr="00610F79">
        <w:rPr>
          <w:rFonts w:asciiTheme="majorBidi" w:hAnsiTheme="majorBidi" w:cs="Times New Roman" w:hint="cs"/>
          <w:sz w:val="28"/>
          <w:szCs w:val="28"/>
          <w:rtl/>
          <w:lang w:bidi="ar-EG"/>
        </w:rPr>
        <w:t>يوم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وقت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الخروج</w:t>
      </w:r>
      <w:r w:rsidRPr="00610F79">
        <w:rPr>
          <w:rFonts w:asciiTheme="majorBidi" w:hAnsiTheme="majorBidi" w:cs="Times New Roman"/>
          <w:sz w:val="28"/>
          <w:szCs w:val="28"/>
          <w:rtl/>
          <w:lang w:bidi="ar-EG"/>
        </w:rPr>
        <w:t xml:space="preserve">: 2.63 </w:t>
      </w:r>
      <w:r w:rsidRPr="00610F79">
        <w:rPr>
          <w:rFonts w:asciiTheme="majorBidi" w:hAnsiTheme="majorBidi" w:cs="Times New Roman" w:hint="cs"/>
          <w:sz w:val="28"/>
          <w:szCs w:val="28"/>
          <w:rtl/>
          <w:lang w:bidi="ar-EG"/>
        </w:rPr>
        <w:t>يوم</w:t>
      </w:r>
      <w:r w:rsidRPr="00610F79">
        <w:rPr>
          <w:rFonts w:asciiTheme="majorBidi" w:hAnsiTheme="majorBidi" w:cs="Times New Roman"/>
          <w:sz w:val="28"/>
          <w:szCs w:val="28"/>
          <w:rtl/>
          <w:lang w:bidi="ar-EG"/>
        </w:rPr>
        <w:t>.</w:t>
      </w:r>
    </w:p>
    <w:p w:rsidR="00074956" w:rsidRPr="00610F79" w:rsidRDefault="00610F79" w:rsidP="00610F79">
      <w:pPr>
        <w:pStyle w:val="ListParagraph"/>
        <w:numPr>
          <w:ilvl w:val="0"/>
          <w:numId w:val="11"/>
        </w:numPr>
        <w:bidi/>
        <w:spacing w:after="160" w:line="360" w:lineRule="auto"/>
        <w:ind w:left="1080"/>
        <w:jc w:val="both"/>
        <w:rPr>
          <w:rFonts w:asciiTheme="majorBidi" w:hAnsiTheme="majorBidi" w:cstheme="majorBidi"/>
          <w:sz w:val="28"/>
          <w:szCs w:val="28"/>
          <w:rtl/>
        </w:rPr>
      </w:pPr>
      <w:r w:rsidRPr="00610F79">
        <w:rPr>
          <w:rFonts w:asciiTheme="majorBidi" w:hAnsiTheme="majorBidi" w:cs="Times New Roman" w:hint="cs"/>
          <w:sz w:val="28"/>
          <w:szCs w:val="28"/>
          <w:rtl/>
          <w:lang w:bidi="ar-EG"/>
        </w:rPr>
        <w:t>الارتباطات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يرتبط</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العمر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بنوع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السم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وعلاقة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الرضيع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بالتسمم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الدوائي</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وعلاقة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الطفل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الصغير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بالتسمم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بالمواد</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الكيميائية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وعلاقة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ما</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قبل</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المدرسة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بالتسمم</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بالأدوية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والارتباطات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السلبية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بين</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HR</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RR</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DBP</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w:t>
      </w:r>
      <w:r w:rsidRPr="00610F79">
        <w:rPr>
          <w:rFonts w:asciiTheme="majorBidi" w:hAnsiTheme="majorBidi" w:cs="Times New Roman"/>
          <w:sz w:val="28"/>
          <w:szCs w:val="28"/>
          <w:rtl/>
          <w:lang w:bidi="ar-EG"/>
        </w:rPr>
        <w:t xml:space="preserve"> </w:t>
      </w:r>
      <w:proofErr w:type="spellStart"/>
      <w:r w:rsidRPr="00610F79">
        <w:rPr>
          <w:rFonts w:asciiTheme="majorBidi" w:hAnsiTheme="majorBidi" w:cstheme="majorBidi"/>
          <w:sz w:val="28"/>
          <w:szCs w:val="28"/>
          <w:lang w:bidi="ar-EG"/>
        </w:rPr>
        <w:t>Hb</w:t>
      </w:r>
      <w:proofErr w:type="spellEnd"/>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PaO2</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وحدة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العناية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المركزة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والعلاقة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السلبية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بين</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جنس</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الذكور</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الوقت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حتى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التفريغ</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الارتباطات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الإيجابية</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بين</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HR</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RR</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و</w:t>
      </w:r>
      <w:r w:rsidRPr="00610F79">
        <w:rPr>
          <w:rFonts w:asciiTheme="majorBidi" w:hAnsiTheme="majorBidi" w:cs="Times New Roman"/>
          <w:sz w:val="28"/>
          <w:szCs w:val="28"/>
          <w:rtl/>
          <w:lang w:bidi="ar-EG"/>
        </w:rPr>
        <w:t xml:space="preserve"> </w:t>
      </w:r>
      <w:r w:rsidRPr="00610F79">
        <w:rPr>
          <w:rFonts w:asciiTheme="majorBidi" w:hAnsiTheme="majorBidi" w:cstheme="majorBidi"/>
          <w:sz w:val="28"/>
          <w:szCs w:val="28"/>
          <w:lang w:bidi="ar-EG"/>
        </w:rPr>
        <w:t>K</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مع</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الوقت</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حتى</w:t>
      </w:r>
      <w:r w:rsidRPr="00610F79">
        <w:rPr>
          <w:rFonts w:asciiTheme="majorBidi" w:hAnsiTheme="majorBidi" w:cs="Times New Roman"/>
          <w:sz w:val="28"/>
          <w:szCs w:val="28"/>
          <w:rtl/>
          <w:lang w:bidi="ar-EG"/>
        </w:rPr>
        <w:t xml:space="preserve"> </w:t>
      </w:r>
      <w:r w:rsidRPr="00610F79">
        <w:rPr>
          <w:rFonts w:asciiTheme="majorBidi" w:hAnsiTheme="majorBidi" w:cs="Times New Roman" w:hint="cs"/>
          <w:sz w:val="28"/>
          <w:szCs w:val="28"/>
          <w:rtl/>
          <w:lang w:bidi="ar-EG"/>
        </w:rPr>
        <w:t>التفريغ</w:t>
      </w:r>
      <w:r w:rsidR="00074956" w:rsidRPr="00610F79">
        <w:rPr>
          <w:rFonts w:asciiTheme="majorBidi" w:hAnsiTheme="majorBidi" w:cstheme="majorBidi"/>
          <w:sz w:val="28"/>
          <w:szCs w:val="28"/>
        </w:rPr>
        <w:t>.</w:t>
      </w:r>
    </w:p>
    <w:p w:rsidR="00074956" w:rsidRPr="00074956" w:rsidRDefault="00074956" w:rsidP="00610F79">
      <w:pPr>
        <w:bidi w:val="0"/>
        <w:spacing w:after="160" w:line="360" w:lineRule="auto"/>
        <w:ind w:left="1080" w:hanging="360"/>
        <w:jc w:val="lowKashida"/>
        <w:rPr>
          <w:rFonts w:asciiTheme="majorBidi" w:hAnsiTheme="majorBidi" w:cstheme="majorBidi"/>
          <w:sz w:val="28"/>
          <w:szCs w:val="28"/>
        </w:rPr>
      </w:pPr>
    </w:p>
    <w:p w:rsidR="00074956" w:rsidRDefault="00074956" w:rsidP="00610F79">
      <w:pPr>
        <w:bidi w:val="0"/>
        <w:spacing w:line="360" w:lineRule="auto"/>
        <w:ind w:left="1080" w:hanging="360"/>
        <w:jc w:val="both"/>
        <w:rPr>
          <w:rFonts w:asciiTheme="majorBidi" w:hAnsiTheme="majorBidi" w:cstheme="majorBidi"/>
          <w:sz w:val="28"/>
          <w:szCs w:val="28"/>
        </w:rPr>
      </w:pPr>
    </w:p>
    <w:p w:rsidR="00074956" w:rsidRDefault="00074956" w:rsidP="00610F79">
      <w:pPr>
        <w:bidi w:val="0"/>
        <w:spacing w:line="360" w:lineRule="auto"/>
        <w:ind w:left="1080" w:hanging="360"/>
        <w:jc w:val="center"/>
        <w:rPr>
          <w:rFonts w:asciiTheme="majorBidi" w:hAnsiTheme="majorBidi" w:cstheme="majorBidi"/>
          <w:sz w:val="28"/>
          <w:szCs w:val="28"/>
        </w:rPr>
      </w:pPr>
    </w:p>
    <w:p w:rsidR="00090EDC" w:rsidRDefault="00090EDC" w:rsidP="004C6EA4">
      <w:pPr>
        <w:jc w:val="center"/>
        <w:rPr>
          <w:rFonts w:asciiTheme="majorBidi" w:eastAsia="Calibri" w:hAnsiTheme="majorBidi" w:cs="Times New Roman"/>
          <w:bCs/>
          <w:sz w:val="44"/>
          <w:szCs w:val="44"/>
          <w:lang w:bidi="ar-EG"/>
        </w:rPr>
      </w:pPr>
    </w:p>
    <w:p w:rsidR="00090EDC" w:rsidRDefault="00090EDC" w:rsidP="004C6EA4">
      <w:pPr>
        <w:jc w:val="center"/>
        <w:rPr>
          <w:rFonts w:asciiTheme="majorBidi" w:eastAsia="Calibri" w:hAnsiTheme="majorBidi" w:cs="Times New Roman"/>
          <w:b/>
          <w:sz w:val="28"/>
          <w:szCs w:val="28"/>
          <w:lang w:bidi="ar-EG"/>
        </w:rPr>
      </w:pPr>
    </w:p>
    <w:p w:rsidR="00090EDC" w:rsidRDefault="00090EDC" w:rsidP="004C6EA4">
      <w:pPr>
        <w:jc w:val="center"/>
        <w:rPr>
          <w:rFonts w:asciiTheme="majorBidi" w:eastAsia="Calibri" w:hAnsiTheme="majorBidi" w:cs="Times New Roman"/>
          <w:b/>
          <w:sz w:val="28"/>
          <w:szCs w:val="28"/>
          <w:lang w:bidi="ar-EG"/>
        </w:rPr>
      </w:pPr>
    </w:p>
    <w:p w:rsidR="00090EDC" w:rsidRDefault="00090EDC" w:rsidP="004C6EA4">
      <w:pPr>
        <w:jc w:val="center"/>
        <w:rPr>
          <w:rFonts w:asciiTheme="majorBidi" w:eastAsia="Calibri" w:hAnsiTheme="majorBidi" w:cs="Times New Roman"/>
          <w:b/>
          <w:sz w:val="28"/>
          <w:szCs w:val="28"/>
          <w:lang w:bidi="ar-EG"/>
        </w:rPr>
      </w:pPr>
    </w:p>
    <w:p w:rsidR="00090EDC" w:rsidRDefault="00090EDC" w:rsidP="004C6EA4">
      <w:pPr>
        <w:jc w:val="center"/>
        <w:rPr>
          <w:rFonts w:asciiTheme="majorBidi" w:eastAsia="Calibri" w:hAnsiTheme="majorBidi" w:cs="Times New Roman"/>
          <w:b/>
          <w:sz w:val="28"/>
          <w:szCs w:val="28"/>
          <w:rtl/>
          <w:lang w:bidi="ar-EG"/>
        </w:rPr>
        <w:sectPr w:rsidR="00090EDC" w:rsidSect="00090EDC">
          <w:headerReference w:type="default" r:id="rId54"/>
          <w:footerReference w:type="default" r:id="rId55"/>
          <w:pgSz w:w="12240" w:h="15840"/>
          <w:pgMar w:top="1440" w:right="1440" w:bottom="1440" w:left="1440" w:header="720" w:footer="720" w:gutter="0"/>
          <w:pgNumType w:start="1"/>
          <w:cols w:space="720"/>
          <w:docGrid w:linePitch="360"/>
        </w:sectPr>
      </w:pPr>
    </w:p>
    <w:p w:rsidR="00090EDC" w:rsidRDefault="00861A23" w:rsidP="004C6EA4">
      <w:pPr>
        <w:jc w:val="center"/>
        <w:rPr>
          <w:rFonts w:asciiTheme="majorBidi" w:eastAsia="Calibri" w:hAnsiTheme="majorBidi" w:cs="Times New Roman"/>
          <w:b/>
          <w:sz w:val="28"/>
          <w:szCs w:val="28"/>
          <w:lang w:bidi="ar-EG"/>
        </w:rPr>
      </w:pPr>
      <w:r>
        <w:rPr>
          <w:noProof/>
        </w:rPr>
        <w:lastRenderedPageBreak/>
        <w:drawing>
          <wp:anchor distT="0" distB="0" distL="114300" distR="114300" simplePos="0" relativeHeight="251694080" behindDoc="0" locked="0" layoutInCell="1" allowOverlap="1" wp14:anchorId="2C1F8195" wp14:editId="3A297717">
            <wp:simplePos x="0" y="0"/>
            <wp:positionH relativeFrom="column">
              <wp:posOffset>400236</wp:posOffset>
            </wp:positionH>
            <wp:positionV relativeFrom="paragraph">
              <wp:posOffset>-361950</wp:posOffset>
            </wp:positionV>
            <wp:extent cx="1097280" cy="1009186"/>
            <wp:effectExtent l="0" t="0" r="7620" b="635"/>
            <wp:wrapNone/>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7280" cy="1009186"/>
                    </a:xfrm>
                    <a:prstGeom prst="rect">
                      <a:avLst/>
                    </a:prstGeom>
                    <a:noFill/>
                    <a:ln>
                      <a:noFill/>
                    </a:ln>
                  </pic:spPr>
                </pic:pic>
              </a:graphicData>
            </a:graphic>
            <wp14:sizeRelH relativeFrom="page">
              <wp14:pctWidth>0</wp14:pctWidth>
            </wp14:sizeRelH>
            <wp14:sizeRelV relativeFrom="page">
              <wp14:pctHeight>0</wp14:pctHeight>
            </wp14:sizeRelV>
          </wp:anchor>
        </w:drawing>
      </w:r>
      <w:r w:rsidR="00F04C2F" w:rsidRPr="00A201F7">
        <w:rPr>
          <w:rFonts w:ascii="Times New Roman" w:hAnsi="Times New Roman" w:cs="Times New Roman"/>
          <w:b/>
          <w:noProof/>
          <w:sz w:val="28"/>
          <w:szCs w:val="28"/>
          <w:highlight w:val="yellow"/>
        </w:rPr>
        <w:drawing>
          <wp:anchor distT="0" distB="0" distL="114300" distR="114300" simplePos="0" relativeHeight="251691008" behindDoc="1" locked="0" layoutInCell="1" allowOverlap="1" wp14:anchorId="2D717DC5" wp14:editId="6357D117">
            <wp:simplePos x="0" y="0"/>
            <wp:positionH relativeFrom="margin">
              <wp:posOffset>-694267</wp:posOffset>
            </wp:positionH>
            <wp:positionV relativeFrom="margin">
              <wp:posOffset>-872067</wp:posOffset>
            </wp:positionV>
            <wp:extent cx="7374255" cy="9600920"/>
            <wp:effectExtent l="0" t="0" r="0" b="635"/>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kisspng-continental-exquisite-gold-frame-5a6b0e69b3d1a1.2498301615169654817365.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376352" cy="9603650"/>
                    </a:xfrm>
                    <a:prstGeom prst="rect">
                      <a:avLst/>
                    </a:prstGeom>
                  </pic:spPr>
                </pic:pic>
              </a:graphicData>
            </a:graphic>
            <wp14:sizeRelH relativeFrom="page">
              <wp14:pctWidth>0</wp14:pctWidth>
            </wp14:sizeRelH>
            <wp14:sizeRelV relativeFrom="page">
              <wp14:pctHeight>0</wp14:pctHeight>
            </wp14:sizeRelV>
          </wp:anchor>
        </w:drawing>
      </w:r>
      <w:r w:rsidR="00F04C2F">
        <w:rPr>
          <w:noProof/>
        </w:rPr>
        <w:drawing>
          <wp:anchor distT="0" distB="0" distL="114300" distR="114300" simplePos="0" relativeHeight="251684864" behindDoc="0" locked="0" layoutInCell="1" allowOverlap="1" wp14:anchorId="3FCD4843" wp14:editId="7FB1C920">
            <wp:simplePos x="0" y="0"/>
            <wp:positionH relativeFrom="column">
              <wp:posOffset>4613910</wp:posOffset>
            </wp:positionH>
            <wp:positionV relativeFrom="paragraph">
              <wp:posOffset>-363855</wp:posOffset>
            </wp:positionV>
            <wp:extent cx="1012663" cy="1051560"/>
            <wp:effectExtent l="0" t="0" r="0" b="0"/>
            <wp:wrapNone/>
            <wp:docPr id="4118" name="Picture 41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4102"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12663" cy="1051560"/>
                    </a:xfrm>
                    <a:prstGeom prst="rect">
                      <a:avLst/>
                    </a:prstGeom>
                  </pic:spPr>
                </pic:pic>
              </a:graphicData>
            </a:graphic>
            <wp14:sizeRelH relativeFrom="margin">
              <wp14:pctWidth>0</wp14:pctWidth>
            </wp14:sizeRelH>
            <wp14:sizeRelV relativeFrom="margin">
              <wp14:pctHeight>0</wp14:pctHeight>
            </wp14:sizeRelV>
          </wp:anchor>
        </w:drawing>
      </w:r>
      <w:r w:rsidR="00090EDC">
        <w:rPr>
          <w:noProof/>
        </w:rPr>
        <mc:AlternateContent>
          <mc:Choice Requires="wps">
            <w:drawing>
              <wp:anchor distT="0" distB="0" distL="114300" distR="114300" simplePos="0" relativeHeight="251686912" behindDoc="0" locked="0" layoutInCell="1" allowOverlap="1" wp14:anchorId="0C997E9D" wp14:editId="038F29A1">
                <wp:simplePos x="0" y="0"/>
                <wp:positionH relativeFrom="column">
                  <wp:posOffset>1321647</wp:posOffset>
                </wp:positionH>
                <wp:positionV relativeFrom="paragraph">
                  <wp:posOffset>-366607</wp:posOffset>
                </wp:positionV>
                <wp:extent cx="3489960" cy="899160"/>
                <wp:effectExtent l="0" t="0" r="0" b="0"/>
                <wp:wrapNone/>
                <wp:docPr id="4119" name="Rectangle 4119"/>
                <wp:cNvGraphicFramePr/>
                <a:graphic xmlns:a="http://schemas.openxmlformats.org/drawingml/2006/main">
                  <a:graphicData uri="http://schemas.microsoft.com/office/word/2010/wordprocessingShape">
                    <wps:wsp>
                      <wps:cNvSpPr/>
                      <wps:spPr>
                        <a:xfrm>
                          <a:off x="0" y="0"/>
                          <a:ext cx="3489960" cy="8991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4371C0" w:rsidRPr="00315FC1" w:rsidRDefault="004371C0" w:rsidP="00090EDC">
                            <w:pPr>
                              <w:autoSpaceDE w:val="0"/>
                              <w:autoSpaceDN w:val="0"/>
                              <w:adjustRightInd w:val="0"/>
                              <w:spacing w:after="0" w:line="240" w:lineRule="auto"/>
                              <w:jc w:val="center"/>
                              <w:rPr>
                                <w:rFonts w:asciiTheme="majorBidi" w:hAnsiTheme="majorBidi" w:cstheme="majorBidi"/>
                                <w:b/>
                                <w:bCs/>
                                <w:sz w:val="28"/>
                                <w:szCs w:val="28"/>
                                <w:rtl/>
                                <w:lang w:bidi="ar-EG"/>
                              </w:rPr>
                            </w:pPr>
                            <w:r w:rsidRPr="00315FC1">
                              <w:rPr>
                                <w:rFonts w:asciiTheme="majorBidi" w:hAnsiTheme="majorBidi" w:cstheme="majorBidi" w:hint="cs"/>
                                <w:b/>
                                <w:bCs/>
                                <w:sz w:val="28"/>
                                <w:szCs w:val="28"/>
                                <w:rtl/>
                                <w:lang w:bidi="ar-EG"/>
                              </w:rPr>
                              <w:t>كلية طب قنا</w:t>
                            </w:r>
                          </w:p>
                          <w:p w:rsidR="004371C0" w:rsidRDefault="004371C0" w:rsidP="00315FC1">
                            <w:pPr>
                              <w:autoSpaceDE w:val="0"/>
                              <w:autoSpaceDN w:val="0"/>
                              <w:adjustRightInd w:val="0"/>
                              <w:spacing w:after="0" w:line="240" w:lineRule="auto"/>
                              <w:jc w:val="center"/>
                            </w:pPr>
                            <w:r w:rsidRPr="00315FC1">
                              <w:rPr>
                                <w:rFonts w:asciiTheme="majorBidi" w:hAnsiTheme="majorBidi" w:cstheme="majorBidi" w:hint="cs"/>
                                <w:b/>
                                <w:bCs/>
                                <w:sz w:val="28"/>
                                <w:szCs w:val="28"/>
                                <w:rtl/>
                                <w:lang w:bidi="ar-EG"/>
                              </w:rPr>
                              <w:t>جامعة جنوب الوادي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19" o:spid="_x0000_s1027" style="position:absolute;left:0;text-align:left;margin-left:104.05pt;margin-top:-28.85pt;width:274.8pt;height:70.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" filled="f" stroked="f">
                <v:textbox>
                  <w:txbxContent>
                    <w:p w:rsidR="004371C0" w:rsidRPr="00315FC1" w:rsidRDefault="004371C0" w:rsidP="00090EDC">
                      <w:pPr>
                        <w:autoSpaceDE w:val="0"/>
                        <w:autoSpaceDN w:val="0"/>
                        <w:adjustRightInd w:val="0"/>
                        <w:spacing w:after="0" w:line="240" w:lineRule="auto"/>
                        <w:jc w:val="center"/>
                        <w:rPr>
                          <w:rFonts w:asciiTheme="majorBidi" w:hAnsiTheme="majorBidi" w:cstheme="majorBidi"/>
                          <w:b/>
                          <w:bCs/>
                          <w:sz w:val="28"/>
                          <w:szCs w:val="28"/>
                          <w:rtl/>
                          <w:lang w:bidi="ar-EG"/>
                        </w:rPr>
                      </w:pPr>
                      <w:r w:rsidRPr="00315FC1">
                        <w:rPr>
                          <w:rFonts w:asciiTheme="majorBidi" w:hAnsiTheme="majorBidi" w:cstheme="majorBidi" w:hint="cs"/>
                          <w:b/>
                          <w:bCs/>
                          <w:sz w:val="28"/>
                          <w:szCs w:val="28"/>
                          <w:rtl/>
                          <w:lang w:bidi="ar-EG"/>
                        </w:rPr>
                        <w:t>كلية طب قنا</w:t>
                      </w:r>
                    </w:p>
                    <w:p w:rsidR="004371C0" w:rsidRDefault="004371C0" w:rsidP="00315FC1">
                      <w:pPr>
                        <w:autoSpaceDE w:val="0"/>
                        <w:autoSpaceDN w:val="0"/>
                        <w:adjustRightInd w:val="0"/>
                        <w:spacing w:after="0" w:line="240" w:lineRule="auto"/>
                        <w:jc w:val="center"/>
                      </w:pPr>
                      <w:r w:rsidRPr="00315FC1">
                        <w:rPr>
                          <w:rFonts w:asciiTheme="majorBidi" w:hAnsiTheme="majorBidi" w:cstheme="majorBidi" w:hint="cs"/>
                          <w:b/>
                          <w:bCs/>
                          <w:sz w:val="28"/>
                          <w:szCs w:val="28"/>
                          <w:rtl/>
                          <w:lang w:bidi="ar-EG"/>
                        </w:rPr>
                        <w:t>جامعة جنوب الوادي</w:t>
                      </w:r>
                    </w:p>
                  </w:txbxContent>
                </v:textbox>
              </v:rect>
            </w:pict>
          </mc:Fallback>
        </mc:AlternateContent>
      </w:r>
    </w:p>
    <w:p w:rsidR="00090EDC" w:rsidRDefault="00090EDC" w:rsidP="00090EDC">
      <w:pPr>
        <w:rPr>
          <w:rFonts w:asciiTheme="majorBidi" w:eastAsia="Calibri" w:hAnsiTheme="majorBidi" w:cs="Times New Roman"/>
          <w:b/>
          <w:sz w:val="28"/>
          <w:szCs w:val="28"/>
          <w:lang w:bidi="ar-EG"/>
        </w:rPr>
      </w:pPr>
      <w:r>
        <w:rPr>
          <w:noProof/>
          <w:rtl/>
        </w:rPr>
        <mc:AlternateContent>
          <mc:Choice Requires="wps">
            <w:drawing>
              <wp:anchor distT="0" distB="0" distL="114300" distR="114300" simplePos="0" relativeHeight="251681792" behindDoc="0" locked="0" layoutInCell="1" allowOverlap="1" wp14:anchorId="349077CC" wp14:editId="2A65ABE7">
                <wp:simplePos x="0" y="0"/>
                <wp:positionH relativeFrom="column">
                  <wp:posOffset>-60960</wp:posOffset>
                </wp:positionH>
                <wp:positionV relativeFrom="paragraph">
                  <wp:posOffset>-198120</wp:posOffset>
                </wp:positionV>
                <wp:extent cx="5882640" cy="8763000"/>
                <wp:effectExtent l="0" t="0" r="0" b="0"/>
                <wp:wrapNone/>
                <wp:docPr id="4104" name="Rectangle 4104"/>
                <wp:cNvGraphicFramePr/>
                <a:graphic xmlns:a="http://schemas.openxmlformats.org/drawingml/2006/main">
                  <a:graphicData uri="http://schemas.microsoft.com/office/word/2010/wordprocessingShape">
                    <wps:wsp>
                      <wps:cNvSpPr/>
                      <wps:spPr>
                        <a:xfrm>
                          <a:off x="0" y="0"/>
                          <a:ext cx="5882640" cy="876300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E9EA09" id="Rectangle 4104" o:spid="_x0000_s1026" style="position:absolute;margin-left:-4.8pt;margin-top:-15.6pt;width:463.2pt;height:690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" filled="f" stroked="f"/>
            </w:pict>
          </mc:Fallback>
        </mc:AlternateContent>
      </w:r>
    </w:p>
    <w:p w:rsidR="00090EDC" w:rsidRPr="00714709" w:rsidRDefault="00714709" w:rsidP="00090EDC">
      <w:pPr>
        <w:jc w:val="center"/>
        <w:rPr>
          <w:rFonts w:asciiTheme="majorBidi" w:eastAsia="Calibri" w:hAnsiTheme="majorBidi" w:cs="Times New Roman"/>
          <w:bCs/>
          <w:sz w:val="44"/>
          <w:szCs w:val="44"/>
          <w:rtl/>
          <w:lang w:bidi="ar-EG"/>
        </w:rPr>
      </w:pPr>
      <w:r w:rsidRPr="00714709">
        <w:rPr>
          <w:rFonts w:asciiTheme="majorBidi" w:eastAsia="Calibri" w:hAnsiTheme="majorBidi" w:cs="Times New Roman"/>
          <w:bCs/>
          <w:sz w:val="44"/>
          <w:szCs w:val="44"/>
          <w:rtl/>
          <w:lang w:bidi="ar-EG"/>
        </w:rPr>
        <w:t>التسمم بين ال</w:t>
      </w:r>
      <w:r>
        <w:rPr>
          <w:rFonts w:asciiTheme="majorBidi" w:eastAsia="Calibri" w:hAnsiTheme="majorBidi" w:cs="Times New Roman" w:hint="cs"/>
          <w:bCs/>
          <w:sz w:val="44"/>
          <w:szCs w:val="44"/>
          <w:rtl/>
          <w:lang w:bidi="ar-EG"/>
        </w:rPr>
        <w:t>أ</w:t>
      </w:r>
      <w:r w:rsidRPr="00714709">
        <w:rPr>
          <w:rFonts w:asciiTheme="majorBidi" w:eastAsia="Calibri" w:hAnsiTheme="majorBidi" w:cs="Times New Roman"/>
          <w:bCs/>
          <w:sz w:val="44"/>
          <w:szCs w:val="44"/>
          <w:rtl/>
          <w:lang w:bidi="ar-EG"/>
        </w:rPr>
        <w:t>طفال بمستشفى قنا الجامعى</w:t>
      </w:r>
      <w:r>
        <w:rPr>
          <w:rFonts w:asciiTheme="majorBidi" w:eastAsia="Calibri" w:hAnsiTheme="majorBidi" w:cs="Times New Roman"/>
          <w:bCs/>
          <w:sz w:val="44"/>
          <w:szCs w:val="44"/>
          <w:lang w:bidi="ar-EG"/>
        </w:rPr>
        <w:t>:</w:t>
      </w:r>
      <w:r w:rsidRPr="00714709">
        <w:rPr>
          <w:rFonts w:asciiTheme="majorBidi" w:eastAsia="Calibri" w:hAnsiTheme="majorBidi" w:cs="Times New Roman"/>
          <w:bCs/>
          <w:sz w:val="44"/>
          <w:szCs w:val="44"/>
          <w:rtl/>
          <w:lang w:bidi="ar-EG"/>
        </w:rPr>
        <w:t xml:space="preserve"> دراسة باثر رجعى</w:t>
      </w:r>
      <w:r w:rsidRPr="004C6EA4">
        <w:rPr>
          <w:rFonts w:asciiTheme="majorBidi" w:eastAsia="Calibri" w:hAnsiTheme="majorBidi" w:cs="Times New Roman" w:hint="cs"/>
          <w:bCs/>
          <w:sz w:val="44"/>
          <w:szCs w:val="44"/>
          <w:rtl/>
          <w:lang w:bidi="ar-EG"/>
        </w:rPr>
        <w:t xml:space="preserve"> </w:t>
      </w:r>
    </w:p>
    <w:p w:rsidR="00090EDC" w:rsidRPr="00EB021E" w:rsidRDefault="00090EDC" w:rsidP="00090EDC">
      <w:pPr>
        <w:jc w:val="center"/>
        <w:rPr>
          <w:rFonts w:asciiTheme="majorBidi" w:eastAsia="Calibri" w:hAnsiTheme="majorBidi" w:cs="Times New Roman"/>
          <w:bCs/>
          <w:sz w:val="28"/>
          <w:szCs w:val="28"/>
          <w:rtl/>
          <w:lang w:bidi="ar-EG"/>
        </w:rPr>
      </w:pPr>
      <w:r w:rsidRPr="00EB021E">
        <w:rPr>
          <w:rFonts w:asciiTheme="majorBidi" w:eastAsia="Calibri" w:hAnsiTheme="majorBidi" w:cs="Times New Roman" w:hint="cs"/>
          <w:bCs/>
          <w:sz w:val="28"/>
          <w:szCs w:val="28"/>
          <w:rtl/>
          <w:lang w:bidi="ar-EG"/>
        </w:rPr>
        <w:t>رسالة</w:t>
      </w:r>
    </w:p>
    <w:p w:rsidR="00090EDC" w:rsidRPr="0037240D" w:rsidRDefault="00090EDC" w:rsidP="00090EDC">
      <w:pPr>
        <w:jc w:val="center"/>
        <w:rPr>
          <w:rFonts w:asciiTheme="majorBidi" w:eastAsia="Calibri" w:hAnsiTheme="majorBidi" w:cs="Times New Roman"/>
          <w:b/>
          <w:sz w:val="28"/>
          <w:szCs w:val="28"/>
          <w:rtl/>
          <w:lang w:bidi="ar-EG"/>
        </w:rPr>
      </w:pPr>
      <w:r w:rsidRPr="0037240D">
        <w:rPr>
          <w:rFonts w:asciiTheme="majorBidi" w:eastAsia="Calibri" w:hAnsiTheme="majorBidi" w:cs="Times New Roman" w:hint="cs"/>
          <w:b/>
          <w:sz w:val="28"/>
          <w:szCs w:val="28"/>
          <w:rtl/>
          <w:lang w:bidi="ar-EG"/>
        </w:rPr>
        <w:t xml:space="preserve">توطئة للحصول على درجة الماجستير في </w:t>
      </w:r>
      <w:r w:rsidR="00714709" w:rsidRPr="00714709">
        <w:rPr>
          <w:rFonts w:asciiTheme="majorBidi" w:eastAsia="Calibri" w:hAnsiTheme="majorBidi" w:cs="Times New Roman"/>
          <w:b/>
          <w:sz w:val="28"/>
          <w:szCs w:val="28"/>
          <w:rtl/>
          <w:lang w:bidi="ar-EG"/>
        </w:rPr>
        <w:t>الطب الشرعى والسموم االكلينكية</w:t>
      </w:r>
    </w:p>
    <w:p w:rsidR="00090EDC" w:rsidRPr="0037240D" w:rsidRDefault="00090EDC" w:rsidP="00090EDC">
      <w:pPr>
        <w:jc w:val="center"/>
        <w:rPr>
          <w:rFonts w:asciiTheme="majorBidi" w:eastAsia="Calibri" w:hAnsiTheme="majorBidi" w:cs="Times New Roman"/>
          <w:b/>
          <w:sz w:val="28"/>
          <w:szCs w:val="28"/>
          <w:rtl/>
          <w:lang w:bidi="ar-EG"/>
        </w:rPr>
      </w:pPr>
      <w:r w:rsidRPr="0037240D">
        <w:rPr>
          <w:rFonts w:asciiTheme="majorBidi" w:eastAsia="Calibri" w:hAnsiTheme="majorBidi" w:cs="Times New Roman" w:hint="cs"/>
          <w:b/>
          <w:sz w:val="28"/>
          <w:szCs w:val="28"/>
          <w:rtl/>
          <w:lang w:bidi="ar-EG"/>
        </w:rPr>
        <w:t>مقدمة من</w:t>
      </w:r>
    </w:p>
    <w:p w:rsidR="00090EDC" w:rsidRPr="00750003" w:rsidRDefault="00090EDC" w:rsidP="00090EDC">
      <w:pPr>
        <w:jc w:val="center"/>
        <w:rPr>
          <w:rFonts w:asciiTheme="majorBidi" w:eastAsia="Calibri" w:hAnsiTheme="majorBidi" w:cs="Times New Roman"/>
          <w:bCs/>
          <w:sz w:val="40"/>
          <w:szCs w:val="40"/>
          <w:rtl/>
          <w:lang w:bidi="ar-EG"/>
        </w:rPr>
      </w:pPr>
      <w:r w:rsidRPr="00750003">
        <w:rPr>
          <w:rFonts w:asciiTheme="majorBidi" w:eastAsia="Calibri" w:hAnsiTheme="majorBidi" w:cs="Times New Roman" w:hint="cs"/>
          <w:bCs/>
          <w:sz w:val="40"/>
          <w:szCs w:val="40"/>
          <w:rtl/>
          <w:lang w:bidi="ar-EG"/>
        </w:rPr>
        <w:t>الطبيب</w:t>
      </w:r>
      <w:r w:rsidR="00714709">
        <w:rPr>
          <w:rFonts w:asciiTheme="majorBidi" w:eastAsia="Calibri" w:hAnsiTheme="majorBidi" w:cs="Times New Roman" w:hint="cs"/>
          <w:bCs/>
          <w:sz w:val="40"/>
          <w:szCs w:val="40"/>
          <w:rtl/>
          <w:lang w:bidi="ar-EG"/>
        </w:rPr>
        <w:t>ة</w:t>
      </w:r>
      <w:r w:rsidRPr="00750003">
        <w:rPr>
          <w:rFonts w:asciiTheme="majorBidi" w:eastAsia="Calibri" w:hAnsiTheme="majorBidi" w:cs="Times New Roman" w:hint="cs"/>
          <w:bCs/>
          <w:sz w:val="40"/>
          <w:szCs w:val="40"/>
          <w:rtl/>
          <w:lang w:bidi="ar-EG"/>
        </w:rPr>
        <w:t xml:space="preserve"> /</w:t>
      </w:r>
      <w:r w:rsidR="00714709" w:rsidRPr="00714709">
        <w:rPr>
          <w:rtl/>
        </w:rPr>
        <w:t xml:space="preserve"> </w:t>
      </w:r>
      <w:r w:rsidR="00714709" w:rsidRPr="00714709">
        <w:rPr>
          <w:rFonts w:asciiTheme="majorBidi" w:eastAsia="Calibri" w:hAnsiTheme="majorBidi" w:cs="Times New Roman"/>
          <w:bCs/>
          <w:sz w:val="40"/>
          <w:szCs w:val="40"/>
          <w:rtl/>
          <w:lang w:bidi="ar-EG"/>
        </w:rPr>
        <w:t>رانا على سليم</w:t>
      </w:r>
    </w:p>
    <w:p w:rsidR="00090EDC" w:rsidRDefault="00090EDC" w:rsidP="00090EDC">
      <w:pPr>
        <w:jc w:val="center"/>
        <w:rPr>
          <w:rFonts w:asciiTheme="majorBidi" w:eastAsia="Calibri" w:hAnsiTheme="majorBidi" w:cs="Times New Roman"/>
          <w:b/>
          <w:sz w:val="24"/>
          <w:szCs w:val="24"/>
          <w:rtl/>
          <w:lang w:bidi="ar-EG"/>
        </w:rPr>
      </w:pPr>
      <w:r w:rsidRPr="00531FDA">
        <w:rPr>
          <w:rFonts w:asciiTheme="majorBidi" w:eastAsia="Calibri" w:hAnsiTheme="majorBidi" w:cs="Times New Roman" w:hint="cs"/>
          <w:b/>
          <w:sz w:val="24"/>
          <w:szCs w:val="24"/>
          <w:rtl/>
          <w:lang w:bidi="ar-EG"/>
        </w:rPr>
        <w:t xml:space="preserve">بكالوريوس الطب والجراحة </w:t>
      </w:r>
    </w:p>
    <w:p w:rsidR="00090EDC" w:rsidRPr="004C6EA4" w:rsidRDefault="00090EDC" w:rsidP="00090EDC">
      <w:pPr>
        <w:jc w:val="center"/>
        <w:rPr>
          <w:rFonts w:asciiTheme="majorBidi" w:eastAsia="Calibri" w:hAnsiTheme="majorBidi" w:cs="Times New Roman"/>
          <w:b/>
          <w:sz w:val="24"/>
          <w:szCs w:val="24"/>
          <w:rtl/>
          <w:lang w:bidi="ar-EG"/>
        </w:rPr>
      </w:pPr>
    </w:p>
    <w:p w:rsidR="00090EDC" w:rsidRPr="00295B67" w:rsidRDefault="00090EDC" w:rsidP="00090EDC">
      <w:pPr>
        <w:jc w:val="center"/>
        <w:rPr>
          <w:rFonts w:asciiTheme="majorBidi" w:eastAsia="Calibri" w:hAnsiTheme="majorBidi" w:cs="Times New Roman"/>
          <w:bCs/>
          <w:sz w:val="32"/>
          <w:szCs w:val="32"/>
          <w:u w:val="single"/>
          <w:rtl/>
          <w:lang w:bidi="ar-EG"/>
        </w:rPr>
      </w:pPr>
      <w:r w:rsidRPr="00295B67">
        <w:rPr>
          <w:rFonts w:asciiTheme="majorBidi" w:eastAsia="Calibri" w:hAnsiTheme="majorBidi" w:cs="Times New Roman"/>
          <w:bCs/>
          <w:sz w:val="32"/>
          <w:szCs w:val="32"/>
          <w:u w:val="single"/>
          <w:rtl/>
          <w:lang w:bidi="ar-EG"/>
        </w:rPr>
        <w:t>تحت إش</w:t>
      </w:r>
      <w:r w:rsidRPr="00295B67">
        <w:rPr>
          <w:rFonts w:asciiTheme="majorBidi" w:eastAsia="Calibri" w:hAnsiTheme="majorBidi" w:cs="Times New Roman" w:hint="cs"/>
          <w:bCs/>
          <w:sz w:val="32"/>
          <w:szCs w:val="32"/>
          <w:u w:val="single"/>
          <w:rtl/>
          <w:lang w:bidi="ar-EG"/>
        </w:rPr>
        <w:t>ر</w:t>
      </w:r>
      <w:r w:rsidRPr="00295B67">
        <w:rPr>
          <w:rFonts w:asciiTheme="majorBidi" w:eastAsia="Calibri" w:hAnsiTheme="majorBidi" w:cs="Times New Roman"/>
          <w:bCs/>
          <w:sz w:val="32"/>
          <w:szCs w:val="32"/>
          <w:u w:val="single"/>
          <w:rtl/>
          <w:lang w:bidi="ar-EG"/>
        </w:rPr>
        <w:t>اف</w:t>
      </w:r>
    </w:p>
    <w:p w:rsidR="00090EDC" w:rsidRPr="00531FDA" w:rsidRDefault="00090EDC" w:rsidP="00090EDC">
      <w:pPr>
        <w:jc w:val="center"/>
        <w:rPr>
          <w:rFonts w:asciiTheme="majorBidi" w:eastAsia="Calibri" w:hAnsiTheme="majorBidi" w:cs="Times New Roman"/>
          <w:bCs/>
          <w:sz w:val="44"/>
          <w:szCs w:val="44"/>
          <w:rtl/>
          <w:lang w:bidi="ar-EG"/>
        </w:rPr>
      </w:pPr>
      <w:r>
        <w:rPr>
          <w:rFonts w:asciiTheme="majorBidi" w:eastAsia="Calibri" w:hAnsiTheme="majorBidi" w:cs="Times New Roman" w:hint="cs"/>
          <w:bCs/>
          <w:sz w:val="44"/>
          <w:szCs w:val="44"/>
          <w:rtl/>
          <w:lang w:bidi="ar-EG"/>
        </w:rPr>
        <w:t>ا</w:t>
      </w:r>
      <w:r w:rsidR="00714709">
        <w:rPr>
          <w:rFonts w:asciiTheme="majorBidi" w:eastAsia="Calibri" w:hAnsiTheme="majorBidi" w:cs="Times New Roman" w:hint="cs"/>
          <w:bCs/>
          <w:sz w:val="44"/>
          <w:szCs w:val="44"/>
          <w:rtl/>
          <w:lang w:bidi="ar-EG"/>
        </w:rPr>
        <w:t>لأستاذة ا</w:t>
      </w:r>
      <w:r>
        <w:rPr>
          <w:rFonts w:asciiTheme="majorBidi" w:eastAsia="Calibri" w:hAnsiTheme="majorBidi" w:cs="Times New Roman" w:hint="cs"/>
          <w:bCs/>
          <w:sz w:val="44"/>
          <w:szCs w:val="44"/>
          <w:rtl/>
          <w:lang w:bidi="ar-EG"/>
        </w:rPr>
        <w:t>لدكتور</w:t>
      </w:r>
      <w:r w:rsidR="00714709">
        <w:rPr>
          <w:rFonts w:asciiTheme="majorBidi" w:eastAsia="Calibri" w:hAnsiTheme="majorBidi" w:cs="Times New Roman" w:hint="cs"/>
          <w:bCs/>
          <w:sz w:val="44"/>
          <w:szCs w:val="44"/>
          <w:rtl/>
          <w:lang w:bidi="ar-EG"/>
        </w:rPr>
        <w:t>ة</w:t>
      </w:r>
      <w:r>
        <w:rPr>
          <w:rFonts w:asciiTheme="majorBidi" w:eastAsia="Calibri" w:hAnsiTheme="majorBidi" w:cs="Times New Roman" w:hint="cs"/>
          <w:bCs/>
          <w:sz w:val="44"/>
          <w:szCs w:val="44"/>
          <w:rtl/>
          <w:lang w:bidi="ar-EG"/>
        </w:rPr>
        <w:t xml:space="preserve">/ </w:t>
      </w:r>
      <w:r w:rsidR="00714709" w:rsidRPr="00714709">
        <w:rPr>
          <w:rFonts w:asciiTheme="majorBidi" w:eastAsia="Calibri" w:hAnsiTheme="majorBidi" w:cs="Times New Roman"/>
          <w:bCs/>
          <w:sz w:val="44"/>
          <w:szCs w:val="44"/>
          <w:rtl/>
          <w:lang w:bidi="ar-EG"/>
        </w:rPr>
        <w:t>سميرة محمد صالح</w:t>
      </w:r>
    </w:p>
    <w:p w:rsidR="00090EDC" w:rsidRPr="00092C20" w:rsidRDefault="00090EDC" w:rsidP="00090EDC">
      <w:pPr>
        <w:jc w:val="center"/>
        <w:rPr>
          <w:rFonts w:asciiTheme="majorBidi" w:eastAsia="Calibri" w:hAnsiTheme="majorBidi" w:cs="Times New Roman"/>
          <w:b/>
          <w:sz w:val="32"/>
          <w:szCs w:val="32"/>
          <w:rtl/>
          <w:lang w:bidi="ar-EG"/>
        </w:rPr>
      </w:pPr>
      <w:r w:rsidRPr="00092C20">
        <w:rPr>
          <w:rFonts w:asciiTheme="majorBidi" w:eastAsia="Calibri" w:hAnsiTheme="majorBidi" w:cs="Times New Roman"/>
          <w:b/>
          <w:sz w:val="32"/>
          <w:szCs w:val="32"/>
          <w:rtl/>
          <w:lang w:bidi="ar-EG"/>
        </w:rPr>
        <w:t>استاذ</w:t>
      </w:r>
      <w:r w:rsidR="00714709">
        <w:rPr>
          <w:rFonts w:asciiTheme="majorBidi" w:eastAsia="Calibri" w:hAnsiTheme="majorBidi" w:cs="Times New Roman" w:hint="cs"/>
          <w:b/>
          <w:sz w:val="32"/>
          <w:szCs w:val="32"/>
          <w:rtl/>
          <w:lang w:bidi="ar-EG"/>
        </w:rPr>
        <w:t>ة</w:t>
      </w:r>
      <w:r w:rsidRPr="00092C20">
        <w:rPr>
          <w:rFonts w:asciiTheme="majorBidi" w:eastAsia="Calibri" w:hAnsiTheme="majorBidi" w:cs="Times New Roman"/>
          <w:b/>
          <w:sz w:val="32"/>
          <w:szCs w:val="32"/>
          <w:rtl/>
          <w:lang w:bidi="ar-EG"/>
        </w:rPr>
        <w:t xml:space="preserve"> </w:t>
      </w:r>
      <w:r w:rsidR="00714709" w:rsidRPr="00714709">
        <w:rPr>
          <w:rFonts w:asciiTheme="majorBidi" w:eastAsia="Calibri" w:hAnsiTheme="majorBidi" w:cs="Times New Roman"/>
          <w:b/>
          <w:sz w:val="32"/>
          <w:szCs w:val="32"/>
          <w:rtl/>
          <w:lang w:bidi="ar-EG"/>
        </w:rPr>
        <w:t xml:space="preserve">الطب الشرعى والسموم االكلينكية </w:t>
      </w:r>
      <w:r w:rsidRPr="00714709">
        <w:rPr>
          <w:rFonts w:asciiTheme="majorBidi" w:eastAsia="Calibri" w:hAnsiTheme="majorBidi" w:cs="Times New Roman"/>
          <w:b/>
          <w:sz w:val="32"/>
          <w:szCs w:val="32"/>
          <w:rtl/>
          <w:lang w:bidi="ar-EG"/>
        </w:rPr>
        <w:t>–</w:t>
      </w:r>
      <w:r w:rsidRPr="00714709">
        <w:rPr>
          <w:rFonts w:asciiTheme="majorBidi" w:eastAsia="Calibri" w:hAnsiTheme="majorBidi" w:cs="Times New Roman" w:hint="cs"/>
          <w:b/>
          <w:sz w:val="32"/>
          <w:szCs w:val="32"/>
          <w:rtl/>
          <w:lang w:bidi="ar-EG"/>
        </w:rPr>
        <w:t xml:space="preserve"> كلية طب قنا </w:t>
      </w:r>
      <w:r w:rsidRPr="00714709">
        <w:rPr>
          <w:rFonts w:asciiTheme="majorBidi" w:eastAsia="Calibri" w:hAnsiTheme="majorBidi" w:cs="Times New Roman"/>
          <w:b/>
          <w:sz w:val="32"/>
          <w:szCs w:val="32"/>
          <w:rtl/>
          <w:lang w:bidi="ar-EG"/>
        </w:rPr>
        <w:t>–</w:t>
      </w:r>
      <w:r w:rsidRPr="00714709">
        <w:rPr>
          <w:rFonts w:asciiTheme="majorBidi" w:eastAsia="Calibri" w:hAnsiTheme="majorBidi" w:cs="Times New Roman" w:hint="cs"/>
          <w:b/>
          <w:sz w:val="32"/>
          <w:szCs w:val="32"/>
          <w:rtl/>
          <w:lang w:bidi="ar-EG"/>
        </w:rPr>
        <w:t xml:space="preserve"> جامعة جنوب الوادي</w:t>
      </w:r>
    </w:p>
    <w:p w:rsidR="00090EDC" w:rsidRPr="00531FDA" w:rsidRDefault="00090EDC" w:rsidP="00090EDC">
      <w:pPr>
        <w:jc w:val="center"/>
        <w:rPr>
          <w:rFonts w:asciiTheme="majorBidi" w:eastAsia="Calibri" w:hAnsiTheme="majorBidi" w:cs="Times New Roman"/>
          <w:bCs/>
          <w:sz w:val="44"/>
          <w:szCs w:val="44"/>
          <w:rtl/>
          <w:lang w:bidi="ar-EG"/>
        </w:rPr>
      </w:pPr>
      <w:r>
        <w:rPr>
          <w:rFonts w:asciiTheme="majorBidi" w:eastAsia="Calibri" w:hAnsiTheme="majorBidi" w:cs="Times New Roman" w:hint="cs"/>
          <w:bCs/>
          <w:sz w:val="44"/>
          <w:szCs w:val="44"/>
          <w:rtl/>
          <w:lang w:bidi="ar-EG"/>
        </w:rPr>
        <w:t xml:space="preserve">الدكتور/ </w:t>
      </w:r>
      <w:r w:rsidR="00714709" w:rsidRPr="00714709">
        <w:rPr>
          <w:rFonts w:asciiTheme="majorBidi" w:eastAsia="Calibri" w:hAnsiTheme="majorBidi" w:cs="Times New Roman"/>
          <w:bCs/>
          <w:sz w:val="44"/>
          <w:szCs w:val="44"/>
          <w:rtl/>
          <w:lang w:bidi="ar-EG"/>
        </w:rPr>
        <w:t>محمد عواد عبد العاطى</w:t>
      </w:r>
    </w:p>
    <w:p w:rsidR="00090EDC" w:rsidRPr="004C6EA4" w:rsidRDefault="00714709" w:rsidP="00090EDC">
      <w:pPr>
        <w:jc w:val="center"/>
        <w:rPr>
          <w:rFonts w:asciiTheme="majorBidi" w:eastAsia="Calibri" w:hAnsiTheme="majorBidi" w:cs="Times New Roman"/>
          <w:b/>
          <w:sz w:val="32"/>
          <w:szCs w:val="32"/>
          <w:rtl/>
          <w:lang w:bidi="ar-EG"/>
        </w:rPr>
      </w:pPr>
      <w:r>
        <w:rPr>
          <w:rFonts w:asciiTheme="majorBidi" w:eastAsia="Calibri" w:hAnsiTheme="majorBidi" w:cs="Times New Roman" w:hint="cs"/>
          <w:b/>
          <w:sz w:val="32"/>
          <w:szCs w:val="32"/>
          <w:rtl/>
          <w:lang w:bidi="ar-EG"/>
        </w:rPr>
        <w:t xml:space="preserve">مدرس </w:t>
      </w:r>
      <w:r w:rsidRPr="00714709">
        <w:rPr>
          <w:rFonts w:asciiTheme="majorBidi" w:eastAsia="Calibri" w:hAnsiTheme="majorBidi" w:cs="Times New Roman"/>
          <w:b/>
          <w:sz w:val="32"/>
          <w:szCs w:val="32"/>
          <w:rtl/>
          <w:lang w:bidi="ar-EG"/>
        </w:rPr>
        <w:t>السموم االكلينكية</w:t>
      </w:r>
      <w:r w:rsidR="00090EDC">
        <w:rPr>
          <w:rFonts w:asciiTheme="majorBidi" w:eastAsia="Calibri" w:hAnsiTheme="majorBidi" w:cs="Times New Roman" w:hint="cs"/>
          <w:b/>
          <w:sz w:val="28"/>
          <w:szCs w:val="28"/>
          <w:rtl/>
          <w:lang w:bidi="ar-EG"/>
        </w:rPr>
        <w:t xml:space="preserve"> </w:t>
      </w:r>
      <w:r w:rsidR="00090EDC">
        <w:rPr>
          <w:rFonts w:asciiTheme="majorBidi" w:eastAsia="Calibri" w:hAnsiTheme="majorBidi" w:cs="Times New Roman"/>
          <w:b/>
          <w:sz w:val="28"/>
          <w:szCs w:val="28"/>
          <w:rtl/>
          <w:lang w:bidi="ar-EG"/>
        </w:rPr>
        <w:t>–</w:t>
      </w:r>
      <w:r w:rsidR="00090EDC">
        <w:rPr>
          <w:rFonts w:asciiTheme="majorBidi" w:eastAsia="Calibri" w:hAnsiTheme="majorBidi" w:cs="Times New Roman" w:hint="cs"/>
          <w:b/>
          <w:sz w:val="28"/>
          <w:szCs w:val="28"/>
          <w:rtl/>
          <w:lang w:bidi="ar-EG"/>
        </w:rPr>
        <w:t xml:space="preserve"> كلية طب قنا </w:t>
      </w:r>
      <w:r w:rsidR="00090EDC">
        <w:rPr>
          <w:rFonts w:asciiTheme="majorBidi" w:eastAsia="Calibri" w:hAnsiTheme="majorBidi" w:cs="Times New Roman"/>
          <w:b/>
          <w:sz w:val="28"/>
          <w:szCs w:val="28"/>
          <w:rtl/>
          <w:lang w:bidi="ar-EG"/>
        </w:rPr>
        <w:t>–</w:t>
      </w:r>
      <w:r w:rsidR="00090EDC">
        <w:rPr>
          <w:rFonts w:asciiTheme="majorBidi" w:eastAsia="Calibri" w:hAnsiTheme="majorBidi" w:cs="Times New Roman" w:hint="cs"/>
          <w:b/>
          <w:sz w:val="28"/>
          <w:szCs w:val="28"/>
          <w:rtl/>
          <w:lang w:bidi="ar-EG"/>
        </w:rPr>
        <w:t xml:space="preserve"> جامعة جنوب الوادي</w:t>
      </w:r>
    </w:p>
    <w:p w:rsidR="00714709" w:rsidRPr="00714709" w:rsidRDefault="00090EDC" w:rsidP="00714709">
      <w:pPr>
        <w:jc w:val="center"/>
        <w:rPr>
          <w:rFonts w:asciiTheme="majorBidi" w:eastAsia="Calibri" w:hAnsiTheme="majorBidi" w:cs="Times New Roman"/>
          <w:bCs/>
          <w:sz w:val="44"/>
          <w:szCs w:val="44"/>
          <w:rtl/>
          <w:lang w:bidi="ar-EG"/>
        </w:rPr>
      </w:pPr>
      <w:r>
        <w:rPr>
          <w:rFonts w:asciiTheme="majorBidi" w:eastAsia="Calibri" w:hAnsiTheme="majorBidi" w:cs="Times New Roman" w:hint="cs"/>
          <w:bCs/>
          <w:sz w:val="44"/>
          <w:szCs w:val="44"/>
          <w:rtl/>
          <w:lang w:bidi="ar-EG"/>
        </w:rPr>
        <w:t>الدكتور</w:t>
      </w:r>
      <w:r w:rsidR="00714709">
        <w:rPr>
          <w:rFonts w:asciiTheme="majorBidi" w:eastAsia="Calibri" w:hAnsiTheme="majorBidi" w:cs="Times New Roman" w:hint="cs"/>
          <w:bCs/>
          <w:sz w:val="44"/>
          <w:szCs w:val="44"/>
          <w:rtl/>
          <w:lang w:bidi="ar-EG"/>
        </w:rPr>
        <w:t>ة</w:t>
      </w:r>
      <w:r>
        <w:rPr>
          <w:rFonts w:asciiTheme="majorBidi" w:eastAsia="Calibri" w:hAnsiTheme="majorBidi" w:cs="Times New Roman" w:hint="cs"/>
          <w:bCs/>
          <w:sz w:val="44"/>
          <w:szCs w:val="44"/>
          <w:rtl/>
          <w:lang w:bidi="ar-EG"/>
        </w:rPr>
        <w:t xml:space="preserve">/ </w:t>
      </w:r>
      <w:r w:rsidR="00714709" w:rsidRPr="00714709">
        <w:rPr>
          <w:rFonts w:asciiTheme="majorBidi" w:eastAsia="Calibri" w:hAnsiTheme="majorBidi" w:cs="Times New Roman"/>
          <w:bCs/>
          <w:sz w:val="44"/>
          <w:szCs w:val="44"/>
          <w:rtl/>
          <w:lang w:bidi="ar-EG"/>
        </w:rPr>
        <w:t xml:space="preserve">هبة محمد قبيصى </w:t>
      </w:r>
    </w:p>
    <w:p w:rsidR="00090EDC" w:rsidRDefault="00714709" w:rsidP="00714709">
      <w:pPr>
        <w:jc w:val="center"/>
        <w:rPr>
          <w:rFonts w:asciiTheme="majorBidi" w:eastAsia="Calibri" w:hAnsiTheme="majorBidi" w:cs="Times New Roman"/>
          <w:b/>
          <w:sz w:val="32"/>
          <w:szCs w:val="32"/>
          <w:rtl/>
          <w:lang w:bidi="ar-EG"/>
        </w:rPr>
      </w:pPr>
      <w:r>
        <w:rPr>
          <w:rFonts w:asciiTheme="majorBidi" w:eastAsia="Calibri" w:hAnsiTheme="majorBidi" w:cs="Times New Roman" w:hint="cs"/>
          <w:b/>
          <w:sz w:val="32"/>
          <w:szCs w:val="32"/>
          <w:rtl/>
          <w:lang w:bidi="ar-EG"/>
        </w:rPr>
        <w:t>مدرس طب</w:t>
      </w:r>
      <w:r w:rsidR="00090EDC">
        <w:rPr>
          <w:rFonts w:asciiTheme="majorBidi" w:eastAsia="Calibri" w:hAnsiTheme="majorBidi" w:cs="Times New Roman" w:hint="cs"/>
          <w:b/>
          <w:sz w:val="28"/>
          <w:szCs w:val="28"/>
          <w:rtl/>
          <w:lang w:bidi="ar-EG"/>
        </w:rPr>
        <w:t xml:space="preserve"> الاطفال </w:t>
      </w:r>
      <w:r w:rsidR="00090EDC">
        <w:rPr>
          <w:rFonts w:asciiTheme="majorBidi" w:eastAsia="Calibri" w:hAnsiTheme="majorBidi" w:cs="Times New Roman"/>
          <w:b/>
          <w:sz w:val="28"/>
          <w:szCs w:val="28"/>
          <w:rtl/>
          <w:lang w:bidi="ar-EG"/>
        </w:rPr>
        <w:t>–</w:t>
      </w:r>
      <w:r w:rsidR="00090EDC">
        <w:rPr>
          <w:rFonts w:asciiTheme="majorBidi" w:eastAsia="Calibri" w:hAnsiTheme="majorBidi" w:cs="Times New Roman" w:hint="cs"/>
          <w:b/>
          <w:sz w:val="28"/>
          <w:szCs w:val="28"/>
          <w:rtl/>
          <w:lang w:bidi="ar-EG"/>
        </w:rPr>
        <w:t xml:space="preserve"> كلية طب قنا </w:t>
      </w:r>
      <w:r w:rsidR="00090EDC">
        <w:rPr>
          <w:rFonts w:asciiTheme="majorBidi" w:eastAsia="Calibri" w:hAnsiTheme="majorBidi" w:cs="Times New Roman"/>
          <w:b/>
          <w:sz w:val="28"/>
          <w:szCs w:val="28"/>
          <w:rtl/>
          <w:lang w:bidi="ar-EG"/>
        </w:rPr>
        <w:t>–</w:t>
      </w:r>
      <w:r w:rsidR="00090EDC">
        <w:rPr>
          <w:rFonts w:asciiTheme="majorBidi" w:eastAsia="Calibri" w:hAnsiTheme="majorBidi" w:cs="Times New Roman" w:hint="cs"/>
          <w:b/>
          <w:sz w:val="28"/>
          <w:szCs w:val="28"/>
          <w:rtl/>
          <w:lang w:bidi="ar-EG"/>
        </w:rPr>
        <w:t xml:space="preserve"> جامعة جنوب الوادي</w:t>
      </w:r>
    </w:p>
    <w:p w:rsidR="00090EDC" w:rsidRDefault="00090EDC" w:rsidP="00090EDC">
      <w:pPr>
        <w:jc w:val="center"/>
        <w:rPr>
          <w:rFonts w:asciiTheme="majorBidi" w:eastAsia="Calibri" w:hAnsiTheme="majorBidi" w:cs="Times New Roman"/>
          <w:b/>
          <w:sz w:val="28"/>
          <w:szCs w:val="28"/>
          <w:rtl/>
          <w:lang w:bidi="ar-EG"/>
        </w:rPr>
      </w:pPr>
    </w:p>
    <w:p w:rsidR="00090EDC" w:rsidRDefault="00090EDC" w:rsidP="00090EDC">
      <w:pPr>
        <w:jc w:val="center"/>
        <w:rPr>
          <w:rFonts w:asciiTheme="majorBidi" w:eastAsia="Calibri" w:hAnsiTheme="majorBidi" w:cs="Times New Roman"/>
          <w:b/>
          <w:sz w:val="32"/>
          <w:szCs w:val="32"/>
          <w:rtl/>
          <w:lang w:bidi="ar-EG"/>
        </w:rPr>
      </w:pPr>
      <w:r>
        <w:rPr>
          <w:rFonts w:asciiTheme="majorBidi" w:eastAsia="Calibri" w:hAnsiTheme="majorBidi" w:cs="Times New Roman"/>
          <w:b/>
          <w:sz w:val="32"/>
          <w:szCs w:val="32"/>
          <w:rtl/>
          <w:lang w:bidi="ar-EG"/>
        </w:rPr>
        <w:t>كلية</w:t>
      </w:r>
      <w:r>
        <w:rPr>
          <w:rFonts w:asciiTheme="majorBidi" w:eastAsia="Calibri" w:hAnsiTheme="majorBidi" w:cs="Times New Roman" w:hint="cs"/>
          <w:b/>
          <w:sz w:val="32"/>
          <w:szCs w:val="32"/>
          <w:rtl/>
          <w:lang w:bidi="ar-EG"/>
        </w:rPr>
        <w:t xml:space="preserve"> </w:t>
      </w:r>
      <w:r w:rsidRPr="00092C20">
        <w:rPr>
          <w:rFonts w:asciiTheme="majorBidi" w:eastAsia="Calibri" w:hAnsiTheme="majorBidi" w:cs="Times New Roman"/>
          <w:b/>
          <w:sz w:val="32"/>
          <w:szCs w:val="32"/>
          <w:rtl/>
          <w:lang w:bidi="ar-EG"/>
        </w:rPr>
        <w:t xml:space="preserve">طب </w:t>
      </w:r>
      <w:r>
        <w:rPr>
          <w:rFonts w:asciiTheme="majorBidi" w:eastAsia="Calibri" w:hAnsiTheme="majorBidi" w:cs="Times New Roman" w:hint="cs"/>
          <w:b/>
          <w:sz w:val="28"/>
          <w:szCs w:val="28"/>
          <w:rtl/>
          <w:lang w:bidi="ar-EG"/>
        </w:rPr>
        <w:t>قنا</w:t>
      </w:r>
    </w:p>
    <w:p w:rsidR="00090EDC" w:rsidRDefault="00090EDC" w:rsidP="00090EDC">
      <w:pPr>
        <w:jc w:val="center"/>
        <w:rPr>
          <w:rFonts w:asciiTheme="majorBidi" w:eastAsia="Calibri" w:hAnsiTheme="majorBidi" w:cs="Times New Roman"/>
          <w:b/>
          <w:sz w:val="28"/>
          <w:szCs w:val="28"/>
          <w:rtl/>
          <w:lang w:bidi="ar-EG"/>
        </w:rPr>
      </w:pPr>
      <w:r w:rsidRPr="00092C20">
        <w:rPr>
          <w:rFonts w:asciiTheme="majorBidi" w:eastAsia="Calibri" w:hAnsiTheme="majorBidi" w:cs="Times New Roman"/>
          <w:b/>
          <w:sz w:val="32"/>
          <w:szCs w:val="32"/>
          <w:rtl/>
          <w:lang w:bidi="ar-EG"/>
        </w:rPr>
        <w:t xml:space="preserve">جامعة </w:t>
      </w:r>
      <w:r>
        <w:rPr>
          <w:rFonts w:asciiTheme="majorBidi" w:eastAsia="Calibri" w:hAnsiTheme="majorBidi" w:cs="Times New Roman" w:hint="cs"/>
          <w:b/>
          <w:sz w:val="28"/>
          <w:szCs w:val="28"/>
          <w:rtl/>
          <w:lang w:bidi="ar-EG"/>
        </w:rPr>
        <w:t>جنوب الوادي</w:t>
      </w:r>
      <w:r w:rsidRPr="002462BA">
        <w:rPr>
          <w:rFonts w:asciiTheme="majorBidi" w:eastAsia="Calibri" w:hAnsiTheme="majorBidi" w:cs="Times New Roman" w:hint="cs"/>
          <w:b/>
          <w:sz w:val="28"/>
          <w:szCs w:val="28"/>
          <w:rtl/>
          <w:lang w:bidi="ar-EG"/>
        </w:rPr>
        <w:t xml:space="preserve"> </w:t>
      </w:r>
    </w:p>
    <w:p w:rsidR="00090EDC" w:rsidRDefault="00750003" w:rsidP="00090EDC">
      <w:pPr>
        <w:jc w:val="center"/>
        <w:rPr>
          <w:rFonts w:asciiTheme="majorBidi" w:eastAsia="Calibri" w:hAnsiTheme="majorBidi" w:cs="Times New Roman"/>
          <w:b/>
          <w:sz w:val="28"/>
          <w:szCs w:val="28"/>
          <w:lang w:bidi="ar-EG"/>
        </w:rPr>
      </w:pPr>
      <w:r w:rsidRPr="00750003">
        <w:rPr>
          <w:rFonts w:asciiTheme="majorBidi" w:eastAsia="Calibri" w:hAnsiTheme="majorBidi" w:cs="Times New Roman"/>
          <w:b/>
          <w:sz w:val="28"/>
          <w:szCs w:val="28"/>
          <w:rtl/>
          <w:lang w:bidi="ar-EG"/>
        </w:rPr>
        <w:t>٢٠٢٣</w:t>
      </w:r>
    </w:p>
    <w:p w:rsidR="00074956" w:rsidRDefault="00074956" w:rsidP="00090EDC">
      <w:pPr>
        <w:bidi w:val="0"/>
        <w:rPr>
          <w:rFonts w:asciiTheme="majorBidi" w:eastAsia="Calibri" w:hAnsiTheme="majorBidi" w:cs="Times New Roman"/>
          <w:b/>
          <w:sz w:val="28"/>
          <w:szCs w:val="28"/>
          <w:lang w:bidi="ar-EG"/>
        </w:rPr>
      </w:pPr>
      <w:bookmarkStart w:id="36" w:name="_Hlk109812566"/>
    </w:p>
    <w:p w:rsidR="00090EDC" w:rsidRDefault="00090EDC" w:rsidP="00090EDC">
      <w:pPr>
        <w:bidi w:val="0"/>
      </w:pPr>
    </w:p>
    <w:p w:rsidR="00090EDC" w:rsidRDefault="00090EDC" w:rsidP="00090EDC">
      <w:pPr>
        <w:bidi w:val="0"/>
        <w:jc w:val="center"/>
      </w:pPr>
    </w:p>
    <w:p w:rsidR="00074956" w:rsidRDefault="00074956" w:rsidP="00074956">
      <w:pPr>
        <w:bidi w:val="0"/>
        <w:jc w:val="center"/>
      </w:pPr>
    </w:p>
    <w:p w:rsidR="00074956" w:rsidRDefault="00074956" w:rsidP="00074956">
      <w:pPr>
        <w:bidi w:val="0"/>
      </w:pPr>
    </w:p>
    <w:p w:rsidR="00074956" w:rsidRDefault="00074956" w:rsidP="00074956">
      <w:pPr>
        <w:bidi w:val="0"/>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714EE69C" wp14:editId="7AF1F0AB">
            <wp:extent cx="1104900" cy="1104900"/>
            <wp:effectExtent l="0" t="0" r="0" b="0"/>
            <wp:docPr id="45" name="Picture 45"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bookmarkStart w:id="37" w:name="_Toc401146684"/>
      <w:r>
        <w:rPr>
          <w:rFonts w:ascii="Dictum" w:hAnsi="Dictum"/>
          <w:sz w:val="80"/>
          <w:szCs w:val="80"/>
        </w:rPr>
        <w:t>Introduction</w:t>
      </w:r>
      <w:bookmarkEnd w:id="37"/>
    </w:p>
    <w:p w:rsidR="00074956" w:rsidRDefault="00074956" w:rsidP="00074956">
      <w:pPr>
        <w:bidi w:val="0"/>
        <w:jc w:val="center"/>
        <w:rPr>
          <w:rFonts w:ascii="Calibri" w:hAnsi="Calibri"/>
        </w:rPr>
      </w:pPr>
      <w:r>
        <w:rPr>
          <w:rFonts w:ascii="New Century Schoolbook" w:hAnsi="New Century Schoolbook" w:cs="MCS Taybah S_U normal."/>
          <w:sz w:val="32"/>
          <w:szCs w:val="32"/>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2EAAD605" wp14:editId="6AE14811">
            <wp:extent cx="1104900" cy="1104900"/>
            <wp:effectExtent l="0" t="0" r="0" b="0"/>
            <wp:docPr id="46" name="Picture 46"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bookmarkStart w:id="38" w:name="_Toc401146686"/>
      <w:r>
        <w:rPr>
          <w:rFonts w:ascii="Dictum" w:hAnsi="Dictum"/>
          <w:sz w:val="80"/>
          <w:szCs w:val="80"/>
        </w:rPr>
        <w:t xml:space="preserve">Aim of the </w:t>
      </w:r>
      <w:bookmarkEnd w:id="38"/>
      <w:r>
        <w:rPr>
          <w:rFonts w:ascii="Dictum" w:hAnsi="Dictum"/>
          <w:sz w:val="80"/>
          <w:szCs w:val="80"/>
        </w:rPr>
        <w:t>Study</w:t>
      </w:r>
    </w:p>
    <w:p w:rsidR="00074956" w:rsidRDefault="00074956" w:rsidP="00074956">
      <w:pPr>
        <w:bidi w:val="0"/>
        <w:jc w:val="center"/>
        <w:rPr>
          <w:rFonts w:ascii="Calibri" w:hAnsi="Calibri"/>
        </w:rPr>
      </w:pPr>
      <w:r>
        <w:rPr>
          <w:rFonts w:ascii="New Century Schoolbook" w:hAnsi="New Century Schoolbook" w:cs="MCS Taybah S_U normal."/>
          <w:sz w:val="32"/>
          <w:szCs w:val="32"/>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pPr>
    </w:p>
    <w:p w:rsidR="00074956" w:rsidRDefault="00074956" w:rsidP="00074956">
      <w:pPr>
        <w:bidi w:val="0"/>
        <w:jc w:val="right"/>
        <w:rPr>
          <w:sz w:val="20"/>
        </w:rPr>
      </w:pPr>
      <w:r>
        <w:rPr>
          <w:rFonts w:ascii="Arial" w:hAnsi="Arial"/>
          <w:noProof/>
          <w:color w:val="0000FF"/>
          <w:sz w:val="31"/>
          <w:szCs w:val="31"/>
        </w:rPr>
        <w:drawing>
          <wp:inline distT="0" distB="0" distL="0" distR="0" wp14:anchorId="5F96B49A" wp14:editId="339B5EAC">
            <wp:extent cx="1104900" cy="1104900"/>
            <wp:effectExtent l="0" t="0" r="0" b="0"/>
            <wp:docPr id="47" name="Picture 47"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bookmarkStart w:id="39" w:name="_Toc401146685"/>
      <w:r>
        <w:rPr>
          <w:rFonts w:ascii="Dictum" w:hAnsi="Dictum"/>
          <w:sz w:val="80"/>
          <w:szCs w:val="80"/>
        </w:rPr>
        <w:t>Review of Literature</w:t>
      </w:r>
      <w:bookmarkEnd w:id="39"/>
    </w:p>
    <w:p w:rsidR="00074956" w:rsidRDefault="00074956" w:rsidP="00074956">
      <w:pPr>
        <w:bidi w:val="0"/>
        <w:rPr>
          <w:rFonts w:ascii="New Century Schoolbook" w:hAnsi="New Century Schoolbook" w:cs="MCS Taybah S_U normal."/>
          <w:sz w:val="32"/>
          <w:szCs w:val="32"/>
        </w:rPr>
      </w:pPr>
      <w:r>
        <w:rPr>
          <w:rFonts w:ascii="New Century Schoolbook" w:hAnsi="New Century Schoolbook" w:cs="MCS Taybah S_U normal."/>
          <w:sz w:val="32"/>
          <w:szCs w:val="32"/>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6A8BC772" wp14:editId="0F6F4DE3">
            <wp:extent cx="1104900" cy="1104900"/>
            <wp:effectExtent l="0" t="0" r="0" b="0"/>
            <wp:docPr id="48" name="Picture 48"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r>
        <w:rPr>
          <w:rFonts w:ascii="Dictum" w:hAnsi="Dictum"/>
          <w:sz w:val="80"/>
          <w:szCs w:val="80"/>
        </w:rPr>
        <w:t>CHAPTER 1:</w:t>
      </w:r>
    </w:p>
    <w:p w:rsidR="00074956" w:rsidRDefault="00074956" w:rsidP="00074956">
      <w:pPr>
        <w:bidi w:val="0"/>
        <w:jc w:val="center"/>
        <w:rPr>
          <w:rFonts w:ascii="Calibri" w:hAnsi="Calibri" w:cs="Arial"/>
          <w:lang w:bidi="ar-EG"/>
        </w:rPr>
      </w:pPr>
      <w:r>
        <w:rPr>
          <w:rFonts w:ascii="Calibri" w:hAnsi="Calibri" w:cs="Arial"/>
          <w:lang w:bidi="ar-EG"/>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3C0BBF67" wp14:editId="29BAA644">
            <wp:extent cx="1104900" cy="1104900"/>
            <wp:effectExtent l="0" t="0" r="0" b="0"/>
            <wp:docPr id="49" name="Picture 49"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r>
        <w:rPr>
          <w:rFonts w:ascii="Dictum" w:hAnsi="Dictum"/>
          <w:sz w:val="80"/>
          <w:szCs w:val="80"/>
        </w:rPr>
        <w:t>CHAPTER 2:</w:t>
      </w:r>
    </w:p>
    <w:p w:rsidR="00074956" w:rsidRDefault="00074956" w:rsidP="00074956">
      <w:pPr>
        <w:bidi w:val="0"/>
        <w:rPr>
          <w:rFonts w:ascii="Calibri" w:hAnsi="Calibri" w:cs="Arial"/>
          <w:lang w:bidi="ar-EG"/>
        </w:rP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p>
    <w:p w:rsidR="00074956" w:rsidRDefault="00074956" w:rsidP="00074956">
      <w:pPr>
        <w:bidi w:val="0"/>
        <w:jc w:val="right"/>
        <w:rPr>
          <w:sz w:val="20"/>
        </w:rP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0C989DA7" wp14:editId="55E4BD00">
            <wp:extent cx="1104900" cy="1104900"/>
            <wp:effectExtent l="0" t="0" r="0" b="0"/>
            <wp:docPr id="57" name="Picture 57"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r>
        <w:rPr>
          <w:rFonts w:ascii="Dictum" w:hAnsi="Dictum"/>
          <w:sz w:val="80"/>
          <w:szCs w:val="80"/>
        </w:rPr>
        <w:t>CHAPTER 3:</w:t>
      </w:r>
    </w:p>
    <w:p w:rsidR="00074956" w:rsidRDefault="00074956" w:rsidP="00074956">
      <w:pPr>
        <w:bidi w:val="0"/>
        <w:jc w:val="center"/>
        <w:rPr>
          <w:rFonts w:ascii="Calibri" w:hAnsi="Calibri" w:cs="Arial"/>
          <w:lang w:bidi="ar-EG"/>
        </w:rPr>
      </w:pPr>
      <w:r>
        <w:rPr>
          <w:rFonts w:ascii="Calibri" w:hAnsi="Calibri" w:cs="Arial"/>
          <w:lang w:bidi="ar-EG"/>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43337EB8" wp14:editId="29912AE4">
            <wp:extent cx="1104900" cy="1104900"/>
            <wp:effectExtent l="0" t="0" r="0" b="0"/>
            <wp:docPr id="59" name="Picture 59"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r>
        <w:rPr>
          <w:rFonts w:ascii="Dictum" w:hAnsi="Dictum"/>
          <w:sz w:val="80"/>
          <w:szCs w:val="80"/>
        </w:rPr>
        <w:t>CHAPTER 4:</w:t>
      </w:r>
    </w:p>
    <w:p w:rsidR="00074956" w:rsidRDefault="00074956" w:rsidP="00074956">
      <w:pPr>
        <w:bidi w:val="0"/>
        <w:rPr>
          <w:rFonts w:ascii="Calibri" w:hAnsi="Calibri" w:cs="Arial"/>
          <w:lang w:bidi="ar-EG"/>
        </w:rP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p>
    <w:p w:rsidR="00074956" w:rsidRDefault="00074956" w:rsidP="00074956">
      <w:pPr>
        <w:bidi w:val="0"/>
        <w:jc w:val="right"/>
        <w:rPr>
          <w:sz w:val="20"/>
        </w:rP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right"/>
        <w:rPr>
          <w:sz w:val="20"/>
        </w:rPr>
      </w:pPr>
      <w:r>
        <w:rPr>
          <w:rFonts w:ascii="Arial" w:hAnsi="Arial"/>
          <w:noProof/>
          <w:color w:val="0000FF"/>
          <w:sz w:val="31"/>
          <w:szCs w:val="31"/>
        </w:rPr>
        <w:drawing>
          <wp:inline distT="0" distB="0" distL="0" distR="0" wp14:anchorId="2BDA7B89" wp14:editId="77C1F03D">
            <wp:extent cx="1104900" cy="1104900"/>
            <wp:effectExtent l="0" t="0" r="0" b="0"/>
            <wp:docPr id="2146945047" name="Picture 2146945047"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610F79" w:rsidRDefault="00610F79" w:rsidP="00610F79">
      <w:pPr>
        <w:pBdr>
          <w:top w:val="threeDEmboss" w:sz="24" w:space="1" w:color="auto"/>
          <w:bottom w:val="threeDEmboss" w:sz="24" w:space="1" w:color="auto"/>
        </w:pBdr>
        <w:bidi w:val="0"/>
        <w:jc w:val="center"/>
        <w:outlineLvl w:val="0"/>
        <w:rPr>
          <w:rFonts w:ascii="Dictum" w:hAnsi="Dictum"/>
          <w:sz w:val="80"/>
          <w:szCs w:val="80"/>
        </w:rPr>
      </w:pPr>
      <w:r>
        <w:rPr>
          <w:rFonts w:ascii="Dictum" w:hAnsi="Dictum"/>
          <w:sz w:val="80"/>
          <w:szCs w:val="80"/>
        </w:rPr>
        <w:t>CHAPTER 5:</w:t>
      </w:r>
    </w:p>
    <w:p w:rsidR="00610F79" w:rsidRDefault="00610F79" w:rsidP="00610F79">
      <w:pPr>
        <w:bidi w:val="0"/>
        <w:rPr>
          <w:rFonts w:ascii="Calibri" w:hAnsi="Calibri" w:cs="Arial"/>
          <w:lang w:bidi="ar-EG"/>
        </w:rP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right"/>
        <w:rPr>
          <w:sz w:val="20"/>
        </w:rPr>
      </w:pPr>
    </w:p>
    <w:p w:rsidR="00610F79" w:rsidRDefault="00610F79" w:rsidP="00610F79">
      <w:pPr>
        <w:bidi w:val="0"/>
        <w:jc w:val="right"/>
        <w:rPr>
          <w:sz w:val="20"/>
        </w:rP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right"/>
        <w:rPr>
          <w:sz w:val="20"/>
        </w:rPr>
      </w:pPr>
      <w:r>
        <w:rPr>
          <w:rFonts w:ascii="Arial" w:hAnsi="Arial"/>
          <w:noProof/>
          <w:color w:val="0000FF"/>
          <w:sz w:val="31"/>
          <w:szCs w:val="31"/>
        </w:rPr>
        <w:drawing>
          <wp:inline distT="0" distB="0" distL="0" distR="0" wp14:anchorId="4321E415" wp14:editId="0637C35D">
            <wp:extent cx="1104900" cy="1104900"/>
            <wp:effectExtent l="0" t="0" r="0" b="0"/>
            <wp:docPr id="623419481" name="Picture 623419481"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610F79" w:rsidRDefault="00610F79" w:rsidP="00610F79">
      <w:pPr>
        <w:pBdr>
          <w:top w:val="threeDEmboss" w:sz="24" w:space="1" w:color="auto"/>
          <w:bottom w:val="threeDEmboss" w:sz="24" w:space="1" w:color="auto"/>
        </w:pBdr>
        <w:bidi w:val="0"/>
        <w:jc w:val="center"/>
        <w:outlineLvl w:val="0"/>
        <w:rPr>
          <w:rFonts w:ascii="Dictum" w:hAnsi="Dictum"/>
          <w:sz w:val="80"/>
          <w:szCs w:val="80"/>
        </w:rPr>
      </w:pPr>
      <w:r>
        <w:rPr>
          <w:rFonts w:ascii="Dictum" w:hAnsi="Dictum"/>
          <w:sz w:val="80"/>
          <w:szCs w:val="80"/>
        </w:rPr>
        <w:t>CHAPTER 6:</w:t>
      </w:r>
    </w:p>
    <w:p w:rsidR="00610F79" w:rsidRDefault="00610F79" w:rsidP="00610F79">
      <w:pPr>
        <w:bidi w:val="0"/>
        <w:rPr>
          <w:rFonts w:ascii="Calibri" w:hAnsi="Calibri" w:cs="Arial"/>
          <w:lang w:bidi="ar-EG"/>
        </w:rP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center"/>
      </w:pPr>
    </w:p>
    <w:p w:rsidR="00610F79" w:rsidRDefault="00610F79" w:rsidP="00610F79">
      <w:pPr>
        <w:bidi w:val="0"/>
        <w:jc w:val="right"/>
        <w:rPr>
          <w:sz w:val="20"/>
        </w:rPr>
      </w:pPr>
    </w:p>
    <w:p w:rsidR="00610F79" w:rsidRDefault="00610F79" w:rsidP="00610F79">
      <w:pPr>
        <w:bidi w:val="0"/>
        <w:jc w:val="right"/>
        <w:rPr>
          <w:sz w:val="20"/>
        </w:rPr>
      </w:pPr>
    </w:p>
    <w:p w:rsidR="00074956" w:rsidRDefault="00074956" w:rsidP="00074956">
      <w:pPr>
        <w:bidi w:val="0"/>
        <w:jc w:val="right"/>
        <w:rPr>
          <w:sz w:val="20"/>
        </w:rPr>
      </w:pPr>
    </w:p>
    <w:p w:rsidR="00074956" w:rsidRDefault="00074956" w:rsidP="00074956">
      <w:pPr>
        <w:bidi w:val="0"/>
        <w:jc w:val="right"/>
        <w:rPr>
          <w:sz w:val="20"/>
        </w:rPr>
      </w:pPr>
    </w:p>
    <w:p w:rsidR="00074956" w:rsidRDefault="00074956" w:rsidP="00074956">
      <w:pPr>
        <w:bidi w:val="0"/>
        <w:jc w:val="right"/>
        <w:rPr>
          <w:sz w:val="20"/>
        </w:rPr>
      </w:pPr>
    </w:p>
    <w:p w:rsidR="00074956" w:rsidRDefault="00074956" w:rsidP="00074956">
      <w:pPr>
        <w:bidi w:val="0"/>
        <w:jc w:val="right"/>
        <w:rPr>
          <w:sz w:val="20"/>
        </w:rPr>
      </w:pPr>
    </w:p>
    <w:p w:rsidR="00610F79" w:rsidRDefault="00610F79" w:rsidP="00610F79">
      <w:pPr>
        <w:bidi w:val="0"/>
        <w:jc w:val="right"/>
        <w:rPr>
          <w:sz w:val="20"/>
        </w:rPr>
      </w:pPr>
    </w:p>
    <w:p w:rsidR="00074956" w:rsidRDefault="00074956" w:rsidP="00074956">
      <w:pPr>
        <w:bidi w:val="0"/>
        <w:jc w:val="right"/>
        <w:rPr>
          <w:sz w:val="20"/>
        </w:rPr>
      </w:pPr>
    </w:p>
    <w:p w:rsidR="00074956" w:rsidRDefault="00074956" w:rsidP="00074956">
      <w:pPr>
        <w:bidi w:val="0"/>
        <w:jc w:val="right"/>
        <w:rPr>
          <w:sz w:val="20"/>
        </w:rPr>
      </w:pPr>
    </w:p>
    <w:p w:rsidR="00074956" w:rsidRDefault="00074956" w:rsidP="00074956">
      <w:pPr>
        <w:bidi w:val="0"/>
        <w:jc w:val="right"/>
        <w:rPr>
          <w:sz w:val="20"/>
        </w:rPr>
      </w:pPr>
    </w:p>
    <w:p w:rsidR="00074956" w:rsidRDefault="00074956" w:rsidP="00074956">
      <w:pPr>
        <w:bidi w:val="0"/>
        <w:jc w:val="right"/>
        <w:rPr>
          <w:sz w:val="20"/>
        </w:rPr>
      </w:pPr>
      <w:r>
        <w:rPr>
          <w:rFonts w:ascii="Arial" w:hAnsi="Arial"/>
          <w:noProof/>
          <w:color w:val="0000FF"/>
          <w:sz w:val="31"/>
          <w:szCs w:val="31"/>
        </w:rPr>
        <w:drawing>
          <wp:inline distT="0" distB="0" distL="0" distR="0" wp14:anchorId="78893BFE" wp14:editId="43CF6F71">
            <wp:extent cx="1104900" cy="1104900"/>
            <wp:effectExtent l="0" t="0" r="0" b="0"/>
            <wp:docPr id="50" name="Picture 50"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bookmarkStart w:id="40" w:name="_Toc401146687"/>
      <w:r>
        <w:rPr>
          <w:rFonts w:ascii="Dictum" w:hAnsi="Dictum"/>
          <w:sz w:val="78"/>
          <w:szCs w:val="78"/>
        </w:rPr>
        <w:t>Patients</w:t>
      </w:r>
      <w:r w:rsidRPr="00916AB4">
        <w:rPr>
          <w:rFonts w:ascii="Dictum" w:hAnsi="Dictum"/>
          <w:b/>
          <w:bCs/>
          <w:sz w:val="78"/>
          <w:szCs w:val="78"/>
        </w:rPr>
        <w:t xml:space="preserve"> </w:t>
      </w:r>
      <w:r>
        <w:rPr>
          <w:rFonts w:ascii="Dictum" w:hAnsi="Dictum"/>
          <w:sz w:val="78"/>
          <w:szCs w:val="78"/>
        </w:rPr>
        <w:t>and Methods</w:t>
      </w:r>
      <w:bookmarkEnd w:id="40"/>
    </w:p>
    <w:p w:rsidR="00074956" w:rsidRDefault="00074956" w:rsidP="00074956">
      <w:pPr>
        <w:bidi w:val="0"/>
        <w:jc w:val="center"/>
        <w:rPr>
          <w:rFonts w:ascii="Calibri" w:hAnsi="Calibri" w:cs="Arial"/>
          <w:lang w:bidi="ar-EG"/>
        </w:rPr>
      </w:pPr>
      <w:r>
        <w:rPr>
          <w:rFonts w:ascii="New Century Schoolbook" w:hAnsi="New Century Schoolbook" w:cs="MCS Taybah S_U normal."/>
          <w:sz w:val="32"/>
          <w:szCs w:val="32"/>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07F318BF" wp14:editId="140910EF">
            <wp:extent cx="1104900" cy="1104900"/>
            <wp:effectExtent l="0" t="0" r="0" b="0"/>
            <wp:docPr id="51" name="Picture 51"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bookmarkStart w:id="41" w:name="_Toc401146688"/>
      <w:r>
        <w:rPr>
          <w:rFonts w:ascii="Dictum" w:hAnsi="Dictum"/>
          <w:sz w:val="80"/>
          <w:szCs w:val="80"/>
        </w:rPr>
        <w:t>Results</w:t>
      </w:r>
      <w:bookmarkEnd w:id="41"/>
    </w:p>
    <w:p w:rsidR="00074956" w:rsidRDefault="00074956" w:rsidP="00074956">
      <w:pPr>
        <w:bidi w:val="0"/>
        <w:jc w:val="center"/>
        <w:rPr>
          <w:rFonts w:ascii="Times New Roman" w:hAnsi="Times New Roman"/>
          <w:sz w:val="24"/>
          <w:szCs w:val="24"/>
        </w:rPr>
      </w:pPr>
      <w:r>
        <w:rPr>
          <w:rFonts w:ascii="New Century Schoolbook" w:hAnsi="New Century Schoolbook" w:cs="MCS Taybah S_U normal."/>
          <w:sz w:val="32"/>
          <w:szCs w:val="32"/>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3ADB677B" wp14:editId="0E1DBE8A">
            <wp:extent cx="1104900" cy="1104900"/>
            <wp:effectExtent l="0" t="0" r="0" b="0"/>
            <wp:docPr id="52" name="Picture 52"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bookmarkStart w:id="42" w:name="_Toc401146689"/>
      <w:r>
        <w:rPr>
          <w:rFonts w:ascii="Dictum" w:hAnsi="Dictum"/>
          <w:sz w:val="80"/>
          <w:szCs w:val="80"/>
        </w:rPr>
        <w:t>Discussion</w:t>
      </w:r>
      <w:bookmarkEnd w:id="42"/>
    </w:p>
    <w:p w:rsidR="00074956" w:rsidRDefault="00074956" w:rsidP="00074956">
      <w:pPr>
        <w:bidi w:val="0"/>
        <w:jc w:val="center"/>
        <w:rPr>
          <w:rFonts w:ascii="Calibri" w:hAnsi="Calibri"/>
        </w:rPr>
      </w:pPr>
      <w:r>
        <w:rPr>
          <w:rFonts w:ascii="New Century Schoolbook" w:hAnsi="New Century Schoolbook" w:cs="MCS Taybah S_U normal."/>
          <w:sz w:val="32"/>
          <w:szCs w:val="32"/>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26237A58" wp14:editId="3A193D03">
            <wp:extent cx="1104900" cy="1104900"/>
            <wp:effectExtent l="0" t="0" r="0" b="0"/>
            <wp:docPr id="316" name="Picture 316"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r>
        <w:rPr>
          <w:rFonts w:ascii="Dictum" w:hAnsi="Dictum"/>
          <w:sz w:val="80"/>
          <w:szCs w:val="80"/>
        </w:rPr>
        <w:t>Summary</w:t>
      </w:r>
    </w:p>
    <w:p w:rsidR="00074956" w:rsidRDefault="00074956" w:rsidP="00074956">
      <w:pPr>
        <w:bidi w:val="0"/>
        <w:jc w:val="center"/>
      </w:pPr>
      <w:r>
        <w:rPr>
          <w:rFonts w:ascii="New Century Schoolbook" w:hAnsi="New Century Schoolbook" w:cs="MCS Taybah S_U normal."/>
          <w:sz w:val="32"/>
          <w:szCs w:val="32"/>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75467B05" wp14:editId="2BEA7457">
            <wp:extent cx="1104900" cy="1104900"/>
            <wp:effectExtent l="0" t="0" r="0" b="0"/>
            <wp:docPr id="53" name="Picture 53"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r>
        <w:rPr>
          <w:rFonts w:ascii="Dictum" w:hAnsi="Dictum"/>
          <w:sz w:val="80"/>
          <w:szCs w:val="80"/>
        </w:rPr>
        <w:t>Conclusion</w:t>
      </w:r>
    </w:p>
    <w:p w:rsidR="00074956" w:rsidRDefault="00074956" w:rsidP="00074956">
      <w:pPr>
        <w:bidi w:val="0"/>
        <w:jc w:val="center"/>
        <w:rPr>
          <w:rFonts w:ascii="Calibri" w:hAnsi="Calibri"/>
        </w:rPr>
      </w:pPr>
      <w:r>
        <w:rPr>
          <w:rFonts w:ascii="New Century Schoolbook" w:hAnsi="New Century Schoolbook" w:cs="MCS Taybah S_U normal."/>
          <w:sz w:val="32"/>
          <w:szCs w:val="32"/>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5C7DFB74" wp14:editId="682486C7">
            <wp:extent cx="1104900" cy="1104900"/>
            <wp:effectExtent l="0" t="0" r="0" b="0"/>
            <wp:docPr id="54" name="Picture 54"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Pr="00004242" w:rsidRDefault="00074956" w:rsidP="00074956">
      <w:pPr>
        <w:pBdr>
          <w:top w:val="threeDEmboss" w:sz="24" w:space="1" w:color="auto"/>
          <w:bottom w:val="threeDEmboss" w:sz="24" w:space="1" w:color="auto"/>
        </w:pBdr>
        <w:bidi w:val="0"/>
        <w:jc w:val="center"/>
        <w:outlineLvl w:val="0"/>
        <w:rPr>
          <w:rFonts w:ascii="Dictum" w:hAnsi="Dictum"/>
          <w:sz w:val="80"/>
          <w:szCs w:val="80"/>
        </w:rPr>
      </w:pPr>
      <w:r w:rsidRPr="00004242">
        <w:rPr>
          <w:rFonts w:ascii="Dictum" w:hAnsi="Dictum"/>
          <w:sz w:val="80"/>
          <w:szCs w:val="80"/>
        </w:rPr>
        <w:t>Recommendations</w:t>
      </w:r>
    </w:p>
    <w:p w:rsidR="00074956" w:rsidRDefault="00074956" w:rsidP="00074956">
      <w:pPr>
        <w:bidi w:val="0"/>
        <w:jc w:val="center"/>
        <w:rPr>
          <w:rFonts w:ascii="Calibri" w:hAnsi="Calibri"/>
        </w:rPr>
      </w:pPr>
      <w:r>
        <w:rPr>
          <w:rFonts w:ascii="New Century Schoolbook" w:hAnsi="New Century Schoolbook" w:cs="MCS Taybah S_U normal."/>
          <w:sz w:val="32"/>
          <w:szCs w:val="32"/>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5C5360E0" wp14:editId="05B85063">
            <wp:extent cx="1104900" cy="1104900"/>
            <wp:effectExtent l="0" t="0" r="0" b="0"/>
            <wp:docPr id="55" name="Picture 55"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2.gstatic.com/images?q=tbn:Xf58qCfQNAwziM:http://www.kindar.net/uploads/33-books.gif"/>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bookmarkStart w:id="43" w:name="_Toc401146692"/>
      <w:r>
        <w:rPr>
          <w:rFonts w:ascii="Dictum" w:hAnsi="Dictum"/>
          <w:sz w:val="80"/>
          <w:szCs w:val="80"/>
        </w:rPr>
        <w:t>References</w:t>
      </w:r>
      <w:bookmarkEnd w:id="43"/>
    </w:p>
    <w:p w:rsidR="00074956" w:rsidRDefault="00074956" w:rsidP="00074956">
      <w:pPr>
        <w:bidi w:val="0"/>
        <w:jc w:val="center"/>
        <w:rPr>
          <w:rFonts w:ascii="Calibri" w:hAnsi="Calibri"/>
        </w:rPr>
      </w:pPr>
      <w:r>
        <w:rPr>
          <w:rFonts w:ascii="New Century Schoolbook" w:hAnsi="New Century Schoolbook" w:cs="MCS Taybah S_U normal."/>
          <w:sz w:val="32"/>
          <w:szCs w:val="32"/>
        </w:rPr>
        <w:br w:type="page"/>
      </w: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center"/>
      </w:pPr>
    </w:p>
    <w:p w:rsidR="00074956" w:rsidRDefault="00074956" w:rsidP="00074956">
      <w:pPr>
        <w:bidi w:val="0"/>
        <w:jc w:val="right"/>
        <w:rPr>
          <w:sz w:val="20"/>
        </w:rPr>
      </w:pPr>
      <w:r>
        <w:rPr>
          <w:rFonts w:ascii="Arial" w:hAnsi="Arial"/>
          <w:noProof/>
          <w:color w:val="0000FF"/>
          <w:sz w:val="31"/>
          <w:szCs w:val="31"/>
        </w:rPr>
        <w:drawing>
          <wp:inline distT="0" distB="0" distL="0" distR="0" wp14:anchorId="0AF0A5BB" wp14:editId="4D12C083">
            <wp:extent cx="1104900" cy="1104900"/>
            <wp:effectExtent l="0" t="0" r="0" b="0"/>
            <wp:docPr id="56" name="Picture 56" descr="http://t2.gstatic.com/images?q=tbn:Xf58qCfQNAwziM:http://www.kindar.net/uploads/33-books.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2.gstatic.com/images?q=tbn:Xf58qCfQNAwziM:http://www.kindar.net/uploads/33-books.gif"/>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074956" w:rsidRDefault="00074956" w:rsidP="00074956">
      <w:pPr>
        <w:pBdr>
          <w:top w:val="threeDEmboss" w:sz="24" w:space="1" w:color="auto"/>
          <w:bottom w:val="threeDEmboss" w:sz="24" w:space="1" w:color="auto"/>
        </w:pBdr>
        <w:bidi w:val="0"/>
        <w:jc w:val="center"/>
        <w:outlineLvl w:val="0"/>
        <w:rPr>
          <w:rFonts w:ascii="Dictum" w:hAnsi="Dictum"/>
          <w:sz w:val="80"/>
          <w:szCs w:val="80"/>
        </w:rPr>
      </w:pPr>
      <w:r>
        <w:rPr>
          <w:rFonts w:ascii="Dictum" w:hAnsi="Dictum"/>
          <w:sz w:val="80"/>
          <w:szCs w:val="80"/>
        </w:rPr>
        <w:t>Arabic Summary</w:t>
      </w:r>
    </w:p>
    <w:p w:rsidR="00074956" w:rsidRDefault="00074956" w:rsidP="00074956">
      <w:pPr>
        <w:bidi w:val="0"/>
        <w:rPr>
          <w:rFonts w:ascii="Calibri" w:hAnsi="Calibri"/>
        </w:rPr>
      </w:pPr>
    </w:p>
    <w:p w:rsidR="00074956" w:rsidRDefault="00074956" w:rsidP="00074956">
      <w:pPr>
        <w:bidi w:val="0"/>
        <w:spacing w:before="240" w:line="360" w:lineRule="auto"/>
        <w:jc w:val="center"/>
        <w:rPr>
          <w:rFonts w:ascii="Times New Roman" w:hAnsi="Times New Roman"/>
          <w:b/>
          <w:bCs/>
          <w:sz w:val="26"/>
          <w:szCs w:val="26"/>
        </w:rPr>
      </w:pPr>
    </w:p>
    <w:p w:rsidR="00074956" w:rsidRPr="002532CE" w:rsidRDefault="00074956" w:rsidP="00074956">
      <w:pPr>
        <w:keepNext/>
        <w:tabs>
          <w:tab w:val="left" w:pos="4788"/>
        </w:tabs>
        <w:bidi w:val="0"/>
        <w:spacing w:after="0"/>
        <w:jc w:val="center"/>
        <w:rPr>
          <w:rFonts w:ascii="Times New Roman" w:eastAsia="Times New Roman" w:hAnsi="Times New Roman" w:cs="Times New Roman"/>
          <w:sz w:val="30"/>
          <w:lang w:bidi="ar-EG"/>
        </w:rPr>
      </w:pPr>
    </w:p>
    <w:p w:rsidR="00074956" w:rsidRDefault="00074956" w:rsidP="00074956">
      <w:pPr>
        <w:bidi w:val="0"/>
        <w:rPr>
          <w:rFonts w:ascii="Times New Roman" w:eastAsia="Times New Roman" w:hAnsi="Times New Roman" w:cs="Times New Roman"/>
          <w:b/>
          <w:bCs/>
          <w:sz w:val="32"/>
          <w:szCs w:val="32"/>
          <w:lang w:bidi="ar-EG"/>
        </w:rPr>
      </w:pPr>
    </w:p>
    <w:p w:rsidR="00074956" w:rsidRDefault="00074956" w:rsidP="00074956">
      <w:pPr>
        <w:bidi w:val="0"/>
        <w:rPr>
          <w:rFonts w:ascii="Times New Roman" w:eastAsia="Times New Roman" w:hAnsi="Times New Roman" w:cs="Times New Roman"/>
          <w:b/>
          <w:bCs/>
          <w:sz w:val="32"/>
          <w:szCs w:val="32"/>
          <w:lang w:bidi="ar-EG"/>
        </w:rPr>
      </w:pPr>
    </w:p>
    <w:p w:rsidR="00074956" w:rsidRDefault="00074956" w:rsidP="00074956">
      <w:pPr>
        <w:bidi w:val="0"/>
        <w:rPr>
          <w:rFonts w:ascii="Times New Roman" w:eastAsia="Times New Roman" w:hAnsi="Times New Roman" w:cs="Times New Roman"/>
          <w:b/>
          <w:bCs/>
          <w:sz w:val="32"/>
          <w:szCs w:val="32"/>
          <w:lang w:bidi="ar-EG"/>
        </w:rPr>
      </w:pPr>
    </w:p>
    <w:bookmarkEnd w:id="36"/>
    <w:p w:rsidR="00074956" w:rsidRPr="006A3056" w:rsidRDefault="00074956" w:rsidP="00074956">
      <w:pPr>
        <w:bidi w:val="0"/>
        <w:spacing w:line="360" w:lineRule="auto"/>
        <w:ind w:left="-360"/>
        <w:jc w:val="both"/>
        <w:rPr>
          <w:rFonts w:asciiTheme="majorBidi" w:hAnsiTheme="majorBidi" w:cstheme="majorBidi"/>
          <w:sz w:val="28"/>
          <w:szCs w:val="28"/>
        </w:rPr>
      </w:pPr>
    </w:p>
    <w:p w:rsidR="00964D5A" w:rsidRDefault="00964D5A" w:rsidP="00074956">
      <w:pPr>
        <w:bidi w:val="0"/>
        <w:spacing w:line="360" w:lineRule="auto"/>
        <w:jc w:val="center"/>
        <w:rPr>
          <w:rFonts w:asciiTheme="majorBidi" w:hAnsiTheme="majorBidi" w:cstheme="majorBidi"/>
          <w:sz w:val="28"/>
          <w:szCs w:val="28"/>
        </w:rPr>
      </w:pPr>
    </w:p>
    <w:p w:rsidR="00074956" w:rsidRPr="001E4A46" w:rsidRDefault="00074956" w:rsidP="00C834FE">
      <w:pPr>
        <w:bidi w:val="0"/>
        <w:spacing w:line="360" w:lineRule="auto"/>
        <w:rPr>
          <w:rFonts w:asciiTheme="majorBidi" w:hAnsiTheme="majorBidi" w:cstheme="majorBidi"/>
          <w:sz w:val="28"/>
          <w:szCs w:val="28"/>
        </w:rPr>
      </w:pPr>
    </w:p>
    <w:sectPr w:rsidR="00074956" w:rsidRPr="001E4A46" w:rsidSect="00090EDC">
      <w:headerReference w:type="default" r:id="rId60"/>
      <w:footerReference w:type="default" r:id="rId6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8C7" w:rsidRDefault="008D18C7" w:rsidP="00233245">
      <w:pPr>
        <w:spacing w:after="0" w:line="240" w:lineRule="auto"/>
      </w:pPr>
      <w:r>
        <w:separator/>
      </w:r>
    </w:p>
  </w:endnote>
  <w:endnote w:type="continuationSeparator" w:id="0">
    <w:p w:rsidR="008D18C7" w:rsidRDefault="008D18C7" w:rsidP="00233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Helvetica">
    <w:panose1 w:val="020B050402020202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Dictum">
    <w:altName w:val="Times New Roman"/>
    <w:charset w:val="00"/>
    <w:family w:val="auto"/>
    <w:pitch w:val="variable"/>
    <w:sig w:usb0="00000003" w:usb1="00000000" w:usb2="00000000" w:usb3="00000000" w:csb0="00000001" w:csb1="00000000"/>
  </w:font>
  <w:font w:name="New Century Schoolbook">
    <w:altName w:val="Century"/>
    <w:charset w:val="00"/>
    <w:family w:val="roman"/>
    <w:pitch w:val="variable"/>
    <w:sig w:usb0="00000007" w:usb1="00000000" w:usb2="00000000" w:usb3="00000000" w:csb0="00000093" w:csb1="00000000"/>
  </w:font>
  <w:font w:name="MCS Taybah S_U normal.">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B96983" w:rsidRDefault="004371C0" w:rsidP="004371C0">
    <w:pPr>
      <w:pStyle w:val="Footer"/>
      <w:jc w:val="cen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612319"/>
      <w:docPartObj>
        <w:docPartGallery w:val="Page Numbers (Bottom of Page)"/>
        <w:docPartUnique/>
      </w:docPartObj>
    </w:sdtPr>
    <w:sdtEndPr>
      <w:rPr>
        <w:rFonts w:asciiTheme="majorBidi" w:hAnsiTheme="majorBidi" w:cstheme="majorBidi"/>
        <w:b/>
        <w:bCs/>
        <w:noProof/>
        <w:sz w:val="24"/>
        <w:szCs w:val="24"/>
      </w:rPr>
    </w:sdtEndPr>
    <w:sdtContent>
      <w:p w:rsidR="004371C0" w:rsidRPr="00D65E99" w:rsidRDefault="004371C0" w:rsidP="004371C0">
        <w:pPr>
          <w:pStyle w:val="Footer"/>
          <w:jc w:val="center"/>
          <w:rPr>
            <w:rFonts w:asciiTheme="majorBidi" w:hAnsiTheme="majorBidi" w:cstheme="majorBidi"/>
            <w:b/>
            <w:bCs/>
            <w:sz w:val="24"/>
            <w:szCs w:val="24"/>
          </w:rPr>
        </w:pPr>
        <w:r w:rsidRPr="00D65E99">
          <w:rPr>
            <w:rFonts w:asciiTheme="majorBidi" w:hAnsiTheme="majorBidi" w:cstheme="majorBidi"/>
            <w:b/>
            <w:bCs/>
            <w:sz w:val="24"/>
            <w:szCs w:val="24"/>
          </w:rPr>
          <w:fldChar w:fldCharType="begin"/>
        </w:r>
        <w:r w:rsidRPr="00D65E99">
          <w:rPr>
            <w:rFonts w:asciiTheme="majorBidi" w:hAnsiTheme="majorBidi" w:cstheme="majorBidi"/>
            <w:b/>
            <w:bCs/>
            <w:sz w:val="24"/>
            <w:szCs w:val="24"/>
          </w:rPr>
          <w:instrText xml:space="preserve"> PAGE   \* MERGEFORMAT </w:instrText>
        </w:r>
        <w:r w:rsidRPr="00D65E99">
          <w:rPr>
            <w:rFonts w:asciiTheme="majorBidi" w:hAnsiTheme="majorBidi" w:cstheme="majorBidi"/>
            <w:b/>
            <w:bCs/>
            <w:sz w:val="24"/>
            <w:szCs w:val="24"/>
          </w:rPr>
          <w:fldChar w:fldCharType="separate"/>
        </w:r>
        <w:r w:rsidR="007B3716">
          <w:rPr>
            <w:rFonts w:asciiTheme="majorBidi" w:hAnsiTheme="majorBidi" w:cstheme="majorBidi"/>
            <w:b/>
            <w:bCs/>
            <w:noProof/>
            <w:sz w:val="24"/>
            <w:szCs w:val="24"/>
          </w:rPr>
          <w:t>I</w:t>
        </w:r>
        <w:r w:rsidRPr="00D65E99">
          <w:rPr>
            <w:rFonts w:asciiTheme="majorBidi" w:hAnsiTheme="majorBidi" w:cstheme="majorBidi"/>
            <w:b/>
            <w:bCs/>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335259"/>
      <w:docPartObj>
        <w:docPartGallery w:val="Page Numbers (Bottom of Page)"/>
        <w:docPartUnique/>
      </w:docPartObj>
    </w:sdtPr>
    <w:sdtEndPr>
      <w:rPr>
        <w:rFonts w:asciiTheme="majorBidi" w:hAnsiTheme="majorBidi" w:cstheme="majorBidi"/>
        <w:b/>
        <w:bCs/>
        <w:noProof/>
        <w:sz w:val="24"/>
        <w:szCs w:val="24"/>
      </w:rPr>
    </w:sdtEndPr>
    <w:sdtContent>
      <w:p w:rsidR="004371C0" w:rsidRPr="00D65E99" w:rsidRDefault="004371C0" w:rsidP="004371C0">
        <w:pPr>
          <w:pStyle w:val="Footer"/>
          <w:jc w:val="center"/>
          <w:rPr>
            <w:rFonts w:asciiTheme="majorBidi" w:hAnsiTheme="majorBidi" w:cstheme="majorBidi"/>
            <w:b/>
            <w:bCs/>
            <w:noProof/>
            <w:sz w:val="24"/>
            <w:szCs w:val="24"/>
          </w:rPr>
        </w:pPr>
        <w:r w:rsidRPr="00D65E99">
          <w:rPr>
            <w:rFonts w:asciiTheme="majorBidi" w:hAnsiTheme="majorBidi" w:cstheme="majorBidi"/>
            <w:b/>
            <w:bCs/>
            <w:noProof/>
            <w:sz w:val="24"/>
            <w:szCs w:val="24"/>
          </w:rPr>
          <w:fldChar w:fldCharType="begin"/>
        </w:r>
        <w:r w:rsidRPr="00D65E99">
          <w:rPr>
            <w:rFonts w:asciiTheme="majorBidi" w:hAnsiTheme="majorBidi" w:cstheme="majorBidi"/>
            <w:b/>
            <w:bCs/>
            <w:noProof/>
            <w:sz w:val="24"/>
            <w:szCs w:val="24"/>
          </w:rPr>
          <w:instrText xml:space="preserve"> PAGE   \* MERGEFORMAT </w:instrText>
        </w:r>
        <w:r w:rsidRPr="00D65E99">
          <w:rPr>
            <w:rFonts w:asciiTheme="majorBidi" w:hAnsiTheme="majorBidi" w:cstheme="majorBidi"/>
            <w:b/>
            <w:bCs/>
            <w:noProof/>
            <w:sz w:val="24"/>
            <w:szCs w:val="24"/>
          </w:rPr>
          <w:fldChar w:fldCharType="separate"/>
        </w:r>
        <w:r w:rsidR="007B3716">
          <w:rPr>
            <w:rFonts w:asciiTheme="majorBidi" w:hAnsiTheme="majorBidi" w:cstheme="majorBidi"/>
            <w:b/>
            <w:bCs/>
            <w:noProof/>
            <w:sz w:val="24"/>
            <w:szCs w:val="24"/>
          </w:rPr>
          <w:t>IV</w:t>
        </w:r>
        <w:r w:rsidRPr="00D65E99">
          <w:rPr>
            <w:rFonts w:asciiTheme="majorBidi" w:hAnsiTheme="majorBidi" w:cstheme="majorBidi"/>
            <w:b/>
            <w:bCs/>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889154"/>
      <w:docPartObj>
        <w:docPartGallery w:val="Page Numbers (Bottom of Page)"/>
        <w:docPartUnique/>
      </w:docPartObj>
    </w:sdtPr>
    <w:sdtEndPr>
      <w:rPr>
        <w:rFonts w:asciiTheme="majorBidi" w:hAnsiTheme="majorBidi" w:cstheme="majorBidi"/>
        <w:b/>
        <w:bCs/>
        <w:noProof/>
        <w:sz w:val="24"/>
        <w:szCs w:val="24"/>
      </w:rPr>
    </w:sdtEndPr>
    <w:sdtContent>
      <w:p w:rsidR="004371C0" w:rsidRPr="00D65E99" w:rsidRDefault="004371C0" w:rsidP="004371C0">
        <w:pPr>
          <w:pStyle w:val="Footer"/>
          <w:jc w:val="center"/>
          <w:rPr>
            <w:rFonts w:asciiTheme="majorBidi" w:hAnsiTheme="majorBidi" w:cstheme="majorBidi"/>
            <w:b/>
            <w:bCs/>
            <w:noProof/>
            <w:sz w:val="24"/>
            <w:szCs w:val="24"/>
          </w:rPr>
        </w:pPr>
        <w:r w:rsidRPr="00D65E99">
          <w:rPr>
            <w:rFonts w:asciiTheme="majorBidi" w:hAnsiTheme="majorBidi" w:cstheme="majorBidi"/>
            <w:b/>
            <w:bCs/>
            <w:noProof/>
            <w:sz w:val="24"/>
            <w:szCs w:val="24"/>
          </w:rPr>
          <w:fldChar w:fldCharType="begin"/>
        </w:r>
        <w:r w:rsidRPr="00D65E99">
          <w:rPr>
            <w:rFonts w:asciiTheme="majorBidi" w:hAnsiTheme="majorBidi" w:cstheme="majorBidi"/>
            <w:b/>
            <w:bCs/>
            <w:noProof/>
            <w:sz w:val="24"/>
            <w:szCs w:val="24"/>
          </w:rPr>
          <w:instrText xml:space="preserve"> PAGE   \* MERGEFORMAT </w:instrText>
        </w:r>
        <w:r w:rsidRPr="00D65E99">
          <w:rPr>
            <w:rFonts w:asciiTheme="majorBidi" w:hAnsiTheme="majorBidi" w:cstheme="majorBidi"/>
            <w:b/>
            <w:bCs/>
            <w:noProof/>
            <w:sz w:val="24"/>
            <w:szCs w:val="24"/>
          </w:rPr>
          <w:fldChar w:fldCharType="separate"/>
        </w:r>
        <w:r w:rsidR="007B3716">
          <w:rPr>
            <w:rFonts w:asciiTheme="majorBidi" w:hAnsiTheme="majorBidi" w:cstheme="majorBidi"/>
            <w:b/>
            <w:bCs/>
            <w:noProof/>
            <w:sz w:val="24"/>
            <w:szCs w:val="24"/>
          </w:rPr>
          <w:t>73</w:t>
        </w:r>
        <w:r w:rsidRPr="00D65E99">
          <w:rPr>
            <w:rFonts w:asciiTheme="majorBidi" w:hAnsiTheme="majorBidi" w:cstheme="majorBidi"/>
            <w:b/>
            <w:bCs/>
            <w:noProof/>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791923"/>
      <w:docPartObj>
        <w:docPartGallery w:val="Page Numbers (Bottom of Page)"/>
        <w:docPartUnique/>
      </w:docPartObj>
    </w:sdtPr>
    <w:sdtEndPr>
      <w:rPr>
        <w:b/>
        <w:bCs/>
        <w:noProof/>
      </w:rPr>
    </w:sdtEndPr>
    <w:sdtContent>
      <w:p w:rsidR="004371C0" w:rsidRPr="007461CB" w:rsidRDefault="004371C0" w:rsidP="007461CB">
        <w:pPr>
          <w:pStyle w:val="Footer"/>
          <w:jc w:val="center"/>
          <w:rPr>
            <w:b/>
            <w:bCs/>
          </w:rPr>
        </w:pPr>
        <w:r w:rsidRPr="007461CB">
          <w:rPr>
            <w:b/>
            <w:bCs/>
          </w:rPr>
          <w:fldChar w:fldCharType="begin"/>
        </w:r>
        <w:r w:rsidRPr="007461CB">
          <w:rPr>
            <w:b/>
            <w:bCs/>
          </w:rPr>
          <w:instrText xml:space="preserve"> PAGE   \* MERGEFORMAT </w:instrText>
        </w:r>
        <w:r w:rsidRPr="007461CB">
          <w:rPr>
            <w:b/>
            <w:bCs/>
          </w:rPr>
          <w:fldChar w:fldCharType="separate"/>
        </w:r>
        <w:r w:rsidR="007B3716">
          <w:rPr>
            <w:b/>
            <w:bCs/>
            <w:noProof/>
          </w:rPr>
          <w:t>77</w:t>
        </w:r>
        <w:r w:rsidRPr="007461CB">
          <w:rPr>
            <w:b/>
            <w:bCs/>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586065"/>
      <w:docPartObj>
        <w:docPartGallery w:val="Page Numbers (Bottom of Page)"/>
        <w:docPartUnique/>
      </w:docPartObj>
    </w:sdtPr>
    <w:sdtEndPr>
      <w:rPr>
        <w:b/>
        <w:bCs/>
        <w:noProof/>
      </w:rPr>
    </w:sdtEndPr>
    <w:sdtContent>
      <w:p w:rsidR="004371C0" w:rsidRPr="00090EDC" w:rsidRDefault="004371C0" w:rsidP="00090EDC">
        <w:pPr>
          <w:pStyle w:val="Footer"/>
          <w:jc w:val="center"/>
          <w:rPr>
            <w:b/>
            <w:bCs/>
          </w:rPr>
        </w:pPr>
        <w:r w:rsidRPr="00090EDC">
          <w:rPr>
            <w:b/>
            <w:bCs/>
          </w:rPr>
          <w:fldChar w:fldCharType="begin"/>
        </w:r>
        <w:r w:rsidRPr="00090EDC">
          <w:rPr>
            <w:b/>
            <w:bCs/>
          </w:rPr>
          <w:instrText xml:space="preserve"> PAGE   \* MERGEFORMAT </w:instrText>
        </w:r>
        <w:r w:rsidRPr="00090EDC">
          <w:rPr>
            <w:b/>
            <w:bCs/>
          </w:rPr>
          <w:fldChar w:fldCharType="separate"/>
        </w:r>
        <w:r w:rsidR="007B3716">
          <w:rPr>
            <w:b/>
            <w:bCs/>
            <w:noProof/>
          </w:rPr>
          <w:t>3</w:t>
        </w:r>
        <w:r w:rsidRPr="00090EDC">
          <w:rPr>
            <w:b/>
            <w:bCs/>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090EDC" w:rsidRDefault="004371C0" w:rsidP="00090EDC">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8C7" w:rsidRDefault="008D18C7" w:rsidP="00233245">
      <w:pPr>
        <w:spacing w:after="0" w:line="240" w:lineRule="auto"/>
      </w:pPr>
      <w:r>
        <w:separator/>
      </w:r>
    </w:p>
  </w:footnote>
  <w:footnote w:type="continuationSeparator" w:id="0">
    <w:p w:rsidR="008D18C7" w:rsidRDefault="008D18C7" w:rsidP="002332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7461CB" w:rsidRDefault="004371C0" w:rsidP="007461C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6D6E28" w:rsidRDefault="004371C0" w:rsidP="006D6E28">
    <w:pPr>
      <w:pStyle w:val="Header"/>
      <w:pBdr>
        <w:bottom w:val="thickThinSmallGap" w:sz="24" w:space="1" w:color="auto"/>
      </w:pBdr>
      <w:jc w:val="right"/>
      <w:rPr>
        <w:rFonts w:ascii="Times New Roman" w:eastAsiaTheme="majorEastAsia" w:hAnsi="Times New Roman"/>
        <w:b/>
        <w:bCs/>
        <w:i/>
        <w:iCs/>
        <w:sz w:val="24"/>
        <w:szCs w:val="24"/>
        <w:lang w:val="en-US"/>
      </w:rPr>
    </w:pPr>
    <w:bookmarkStart w:id="19" w:name="_Hlk116361040"/>
    <w:bookmarkStart w:id="20" w:name="_Hlk116361041"/>
    <w:bookmarkStart w:id="21" w:name="_Hlk120396989"/>
    <w:bookmarkStart w:id="22" w:name="_Hlk120396990"/>
    <w:bookmarkStart w:id="23" w:name="_Hlk121342593"/>
    <w:bookmarkStart w:id="24" w:name="_Hlk121342594"/>
    <w:r>
      <w:rPr>
        <w:rFonts w:ascii="Times New Roman" w:eastAsiaTheme="majorEastAsia" w:hAnsi="Times New Roman"/>
        <w:b/>
        <w:bCs/>
        <w:i/>
        <w:iCs/>
        <w:sz w:val="24"/>
        <w:szCs w:val="24"/>
        <w:lang w:val="en-US"/>
      </w:rPr>
      <w:t>Patients and methods</w:t>
    </w:r>
    <w:bookmarkEnd w:id="19"/>
    <w:bookmarkEnd w:id="20"/>
    <w:bookmarkEnd w:id="21"/>
    <w:bookmarkEnd w:id="22"/>
    <w:bookmarkEnd w:id="23"/>
    <w:bookmarkEnd w:id="24"/>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6D6E28" w:rsidRDefault="004371C0" w:rsidP="006D6E28">
    <w:pPr>
      <w:pStyle w:val="Header"/>
      <w:pBdr>
        <w:bottom w:val="thickThinSmallGap" w:sz="24" w:space="1" w:color="auto"/>
      </w:pBdr>
      <w:jc w:val="right"/>
      <w:rPr>
        <w:rFonts w:ascii="Times New Roman" w:eastAsiaTheme="majorEastAsia" w:hAnsi="Times New Roman"/>
        <w:b/>
        <w:bCs/>
        <w:i/>
        <w:iCs/>
        <w:sz w:val="24"/>
        <w:szCs w:val="24"/>
        <w:lang w:val="en-US" w:bidi="ar-EG"/>
      </w:rPr>
    </w:pPr>
    <w:bookmarkStart w:id="25" w:name="_Hlk116361068"/>
    <w:bookmarkStart w:id="26" w:name="_Hlk116361069"/>
    <w:bookmarkStart w:id="27" w:name="_Hlk120397004"/>
    <w:bookmarkStart w:id="28" w:name="_Hlk120397005"/>
    <w:bookmarkStart w:id="29" w:name="_Hlk121342613"/>
    <w:bookmarkStart w:id="30" w:name="_Hlk121342614"/>
    <w:r>
      <w:rPr>
        <w:rFonts w:ascii="Times New Roman" w:eastAsiaTheme="majorEastAsia" w:hAnsi="Times New Roman"/>
        <w:b/>
        <w:bCs/>
        <w:i/>
        <w:iCs/>
        <w:sz w:val="24"/>
        <w:szCs w:val="24"/>
        <w:lang w:val="en-US" w:bidi="ar-EG"/>
      </w:rPr>
      <w:t>Results</w:t>
    </w:r>
    <w:bookmarkEnd w:id="25"/>
    <w:bookmarkEnd w:id="26"/>
    <w:bookmarkEnd w:id="27"/>
    <w:bookmarkEnd w:id="28"/>
    <w:bookmarkEnd w:id="29"/>
    <w:bookmarkEnd w:id="30"/>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7461CB" w:rsidRDefault="004371C0" w:rsidP="007461CB">
    <w:pPr>
      <w:pStyle w:val="Header"/>
      <w:pBdr>
        <w:bottom w:val="thickThinSmallGap" w:sz="24" w:space="1" w:color="auto"/>
      </w:pBdr>
      <w:jc w:val="right"/>
      <w:rPr>
        <w:rFonts w:ascii="Times New Roman" w:eastAsiaTheme="majorEastAsia" w:hAnsi="Times New Roman"/>
        <w:b/>
        <w:bCs/>
        <w:i/>
        <w:iCs/>
        <w:sz w:val="24"/>
        <w:szCs w:val="24"/>
        <w:lang w:val="en-US" w:bidi="ar-EG"/>
      </w:rPr>
    </w:pPr>
    <w:r>
      <w:rPr>
        <w:rFonts w:ascii="Times New Roman" w:eastAsiaTheme="majorEastAsia" w:hAnsi="Times New Roman"/>
        <w:b/>
        <w:bCs/>
        <w:i/>
        <w:iCs/>
        <w:sz w:val="24"/>
        <w:szCs w:val="24"/>
        <w:lang w:val="en-US" w:bidi="ar-EG"/>
      </w:rPr>
      <w:t>Discussion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7461CB" w:rsidRDefault="004371C0" w:rsidP="007461CB">
    <w:pPr>
      <w:pStyle w:val="Header"/>
      <w:pBdr>
        <w:bottom w:val="thickThinSmallGap" w:sz="24" w:space="1" w:color="auto"/>
      </w:pBdr>
      <w:jc w:val="right"/>
      <w:rPr>
        <w:rFonts w:ascii="Times New Roman" w:eastAsiaTheme="majorEastAsia" w:hAnsi="Times New Roman"/>
        <w:b/>
        <w:bCs/>
        <w:i/>
        <w:iCs/>
        <w:sz w:val="24"/>
        <w:szCs w:val="24"/>
        <w:lang w:val="en-US" w:bidi="ar-EG"/>
      </w:rPr>
    </w:pPr>
    <w:r>
      <w:rPr>
        <w:rFonts w:ascii="Times New Roman" w:eastAsiaTheme="majorEastAsia" w:hAnsi="Times New Roman"/>
        <w:b/>
        <w:bCs/>
        <w:i/>
        <w:iCs/>
        <w:sz w:val="24"/>
        <w:szCs w:val="24"/>
        <w:lang w:val="en-US" w:bidi="ar-EG"/>
      </w:rPr>
      <w:t>Summary</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7461CB" w:rsidRDefault="004371C0" w:rsidP="007461CB">
    <w:pPr>
      <w:pStyle w:val="Header"/>
      <w:pBdr>
        <w:bottom w:val="thickThinSmallGap" w:sz="24" w:space="1" w:color="auto"/>
      </w:pBdr>
      <w:jc w:val="right"/>
      <w:rPr>
        <w:rFonts w:ascii="Times New Roman" w:eastAsiaTheme="majorEastAsia" w:hAnsi="Times New Roman"/>
        <w:b/>
        <w:bCs/>
        <w:i/>
        <w:iCs/>
        <w:sz w:val="24"/>
        <w:szCs w:val="24"/>
        <w:lang w:val="en-US" w:bidi="ar-EG"/>
      </w:rPr>
    </w:pPr>
    <w:r>
      <w:rPr>
        <w:rFonts w:ascii="Times New Roman" w:eastAsiaTheme="majorEastAsia" w:hAnsi="Times New Roman"/>
        <w:b/>
        <w:bCs/>
        <w:i/>
        <w:iCs/>
        <w:sz w:val="24"/>
        <w:szCs w:val="24"/>
        <w:lang w:val="en-US" w:bidi="ar-EG"/>
      </w:rPr>
      <w:t>Conclusion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7461CB" w:rsidRDefault="004371C0" w:rsidP="007461CB">
    <w:pPr>
      <w:pStyle w:val="Header"/>
      <w:pBdr>
        <w:bottom w:val="thickThinSmallGap" w:sz="24" w:space="1" w:color="auto"/>
      </w:pBdr>
      <w:jc w:val="right"/>
      <w:rPr>
        <w:rFonts w:ascii="Times New Roman" w:eastAsiaTheme="majorEastAsia" w:hAnsi="Times New Roman"/>
        <w:b/>
        <w:bCs/>
        <w:i/>
        <w:iCs/>
        <w:sz w:val="24"/>
        <w:szCs w:val="24"/>
        <w:lang w:val="en-US" w:bidi="ar-EG"/>
      </w:rPr>
    </w:pPr>
    <w:r>
      <w:rPr>
        <w:rFonts w:ascii="Times New Roman" w:eastAsiaTheme="majorEastAsia" w:hAnsi="Times New Roman"/>
        <w:b/>
        <w:bCs/>
        <w:i/>
        <w:iCs/>
        <w:sz w:val="24"/>
        <w:szCs w:val="24"/>
        <w:lang w:val="en-US" w:bidi="ar-EG"/>
      </w:rPr>
      <w:t>Recommendations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7461CB" w:rsidRDefault="004371C0" w:rsidP="007461CB">
    <w:pPr>
      <w:pStyle w:val="Header"/>
      <w:pBdr>
        <w:bottom w:val="thickThinSmallGap" w:sz="24" w:space="1" w:color="auto"/>
      </w:pBdr>
      <w:jc w:val="right"/>
      <w:rPr>
        <w:rFonts w:ascii="Times New Roman" w:eastAsiaTheme="majorEastAsia" w:hAnsi="Times New Roman"/>
        <w:b/>
        <w:bCs/>
        <w:i/>
        <w:iCs/>
        <w:sz w:val="24"/>
        <w:szCs w:val="24"/>
        <w:lang w:val="en-US" w:bidi="ar-EG"/>
      </w:rPr>
    </w:pPr>
    <w:r>
      <w:rPr>
        <w:rFonts w:ascii="Times New Roman" w:eastAsiaTheme="majorEastAsia" w:hAnsi="Times New Roman"/>
        <w:b/>
        <w:bCs/>
        <w:i/>
        <w:iCs/>
        <w:sz w:val="24"/>
        <w:szCs w:val="24"/>
        <w:lang w:val="en-US" w:bidi="ar-EG"/>
      </w:rPr>
      <w:t>Limitations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7461CB" w:rsidRDefault="004371C0" w:rsidP="007461CB">
    <w:pPr>
      <w:pStyle w:val="Header"/>
      <w:pBdr>
        <w:bottom w:val="thickThinSmallGap" w:sz="24" w:space="1" w:color="auto"/>
      </w:pBdr>
      <w:jc w:val="right"/>
      <w:rPr>
        <w:rFonts w:ascii="Times New Roman" w:eastAsiaTheme="majorEastAsia" w:hAnsi="Times New Roman"/>
        <w:b/>
        <w:bCs/>
        <w:i/>
        <w:iCs/>
        <w:sz w:val="24"/>
        <w:szCs w:val="24"/>
        <w:lang w:val="en-US" w:bidi="ar-EG"/>
      </w:rPr>
    </w:pPr>
    <w:bookmarkStart w:id="32" w:name="_Hlk116361169"/>
    <w:bookmarkStart w:id="33" w:name="_Hlk116361170"/>
    <w:bookmarkStart w:id="34" w:name="_Hlk120397107"/>
    <w:bookmarkStart w:id="35" w:name="_Hlk120397108"/>
    <w:r>
      <w:rPr>
        <w:rFonts w:ascii="Times New Roman" w:eastAsiaTheme="majorEastAsia" w:hAnsi="Times New Roman"/>
        <w:b/>
        <w:bCs/>
        <w:i/>
        <w:iCs/>
        <w:sz w:val="24"/>
        <w:szCs w:val="24"/>
        <w:lang w:val="en-US" w:bidi="ar-EG"/>
      </w:rPr>
      <w:t>References</w:t>
    </w:r>
    <w:bookmarkEnd w:id="32"/>
    <w:bookmarkEnd w:id="33"/>
    <w:bookmarkEnd w:id="34"/>
    <w:bookmarkEnd w:id="35"/>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090EDC" w:rsidRDefault="004371C0" w:rsidP="00090EDC">
    <w:pPr>
      <w:pStyle w:val="Header"/>
      <w:pBdr>
        <w:bottom w:val="thickThinSmallGap" w:sz="24" w:space="1" w:color="auto"/>
      </w:pBdr>
      <w:jc w:val="right"/>
      <w:rPr>
        <w:rFonts w:ascii="Times New Roman" w:eastAsiaTheme="majorEastAsia" w:hAnsi="Times New Roman"/>
        <w:b/>
        <w:bCs/>
        <w:i/>
        <w:iCs/>
        <w:sz w:val="24"/>
        <w:szCs w:val="24"/>
        <w:lang w:val="en-US" w:bidi="ar-EG"/>
      </w:rPr>
    </w:pPr>
    <w:r>
      <w:rPr>
        <w:rFonts w:ascii="Times New Roman" w:eastAsiaTheme="majorEastAsia" w:hAnsi="Times New Roman" w:hint="cs"/>
        <w:b/>
        <w:bCs/>
        <w:i/>
        <w:iCs/>
        <w:sz w:val="24"/>
        <w:szCs w:val="24"/>
        <w:rtl/>
        <w:lang w:val="en-US" w:bidi="ar-EG"/>
      </w:rPr>
      <w:t>الملخص العربي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3E1484" w:rsidRDefault="004371C0" w:rsidP="003E14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7461CB" w:rsidRDefault="004371C0" w:rsidP="007461CB">
    <w:pPr>
      <w:pStyle w:val="Header"/>
      <w:pBdr>
        <w:bottom w:val="thinThickSmallGap" w:sz="18" w:space="1" w:color="auto"/>
      </w:pBdr>
      <w:bidi/>
      <w:rPr>
        <w:rFonts w:asciiTheme="majorBidi" w:hAnsiTheme="majorBidi" w:cstheme="majorBidi"/>
        <w:b/>
        <w:bCs/>
        <w:i/>
        <w:iCs/>
        <w:sz w:val="24"/>
        <w:szCs w:val="24"/>
        <w:lang w:val="en-US" w:bidi="ar-EG"/>
      </w:rPr>
    </w:pPr>
    <w:bookmarkStart w:id="3" w:name="_Hlk109809931"/>
    <w:bookmarkStart w:id="4" w:name="_Hlk109809932"/>
    <w:bookmarkStart w:id="5" w:name="_Hlk109809938"/>
    <w:bookmarkStart w:id="6" w:name="_Hlk109809939"/>
    <w:bookmarkStart w:id="7" w:name="_Hlk109809991"/>
    <w:bookmarkStart w:id="8" w:name="_Hlk109809992"/>
    <w:bookmarkStart w:id="9" w:name="_Hlk116360801"/>
    <w:bookmarkStart w:id="10" w:name="_Hlk116360802"/>
    <w:bookmarkStart w:id="11" w:name="_Hlk116360810"/>
    <w:bookmarkStart w:id="12" w:name="_Hlk116360811"/>
    <w:bookmarkStart w:id="13" w:name="_Hlk120396900"/>
    <w:bookmarkStart w:id="14" w:name="_Hlk120396901"/>
    <w:r>
      <w:rPr>
        <w:rFonts w:asciiTheme="majorBidi" w:hAnsiTheme="majorBidi" w:cstheme="majorBidi"/>
        <w:b/>
        <w:bCs/>
        <w:i/>
        <w:iCs/>
        <w:sz w:val="24"/>
        <w:szCs w:val="24"/>
        <w:lang w:val="en-US"/>
      </w:rPr>
      <w:t>Introduction</w:t>
    </w:r>
    <w:r w:rsidRPr="0098253C">
      <w:rPr>
        <w:rFonts w:asciiTheme="majorBidi" w:hAnsiTheme="majorBidi" w:cstheme="majorBidi"/>
        <w:b/>
        <w:bCs/>
        <w:i/>
        <w:iCs/>
        <w:sz w:val="24"/>
        <w:szCs w:val="24"/>
        <w:lang w:val="en-US"/>
      </w:rPr>
      <w:t xml:space="preserve"> </w:t>
    </w:r>
    <w:bookmarkEnd w:id="3"/>
    <w:bookmarkEnd w:id="4"/>
    <w:bookmarkEnd w:id="5"/>
    <w:bookmarkEnd w:id="6"/>
    <w:bookmarkEnd w:id="7"/>
    <w:bookmarkEnd w:id="8"/>
    <w:bookmarkEnd w:id="9"/>
    <w:bookmarkEnd w:id="10"/>
    <w:bookmarkEnd w:id="11"/>
    <w:bookmarkEnd w:id="12"/>
    <w:bookmarkEnd w:id="13"/>
    <w:bookmarkEnd w:id="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233245" w:rsidRDefault="004371C0" w:rsidP="00233245">
    <w:pPr>
      <w:pStyle w:val="Header"/>
      <w:pBdr>
        <w:bottom w:val="thickThinSmallGap" w:sz="24" w:space="1" w:color="auto"/>
      </w:pBdr>
      <w:jc w:val="right"/>
      <w:rPr>
        <w:rFonts w:ascii="Times New Roman" w:eastAsiaTheme="majorEastAsia" w:hAnsi="Times New Roman"/>
        <w:b/>
        <w:bCs/>
        <w:i/>
        <w:iCs/>
        <w:sz w:val="24"/>
        <w:szCs w:val="24"/>
        <w:lang w:val="en-US"/>
      </w:rPr>
    </w:pPr>
    <w:bookmarkStart w:id="15" w:name="_Hlk116360824"/>
    <w:bookmarkStart w:id="16" w:name="_Hlk116360825"/>
    <w:bookmarkStart w:id="17" w:name="_Hlk120396924"/>
    <w:bookmarkStart w:id="18" w:name="_Hlk120396925"/>
    <w:r>
      <w:rPr>
        <w:rFonts w:ascii="Times New Roman" w:eastAsiaTheme="majorEastAsia" w:hAnsi="Times New Roman"/>
        <w:b/>
        <w:bCs/>
        <w:i/>
        <w:iCs/>
        <w:sz w:val="24"/>
        <w:szCs w:val="24"/>
        <w:lang w:val="en-US"/>
      </w:rPr>
      <w:t>Aim of The Study</w:t>
    </w:r>
    <w:bookmarkEnd w:id="15"/>
    <w:bookmarkEnd w:id="16"/>
    <w:bookmarkEnd w:id="17"/>
    <w:bookmarkEnd w:id="18"/>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233245" w:rsidRDefault="004371C0" w:rsidP="00233245">
    <w:pPr>
      <w:pStyle w:val="Header"/>
      <w:pBdr>
        <w:bottom w:val="thickThinSmallGap" w:sz="24" w:space="1" w:color="auto"/>
      </w:pBdr>
      <w:rPr>
        <w:rFonts w:ascii="Times New Roman" w:eastAsiaTheme="majorEastAsia" w:hAnsi="Times New Roman"/>
        <w:b/>
        <w:bCs/>
        <w:i/>
        <w:iCs/>
        <w:sz w:val="24"/>
        <w:szCs w:val="24"/>
        <w:lang w:val="en-US"/>
      </w:rPr>
    </w:pPr>
    <w:r w:rsidRPr="00202C99">
      <w:rPr>
        <w:rFonts w:ascii="Times New Roman" w:eastAsiaTheme="majorEastAsia" w:hAnsi="Times New Roman"/>
        <w:b/>
        <w:bCs/>
        <w:i/>
        <w:iCs/>
        <w:sz w:val="24"/>
        <w:szCs w:val="24"/>
      </w:rPr>
      <w:t>Review Of Literature</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Childhood Poisoning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233245" w:rsidRDefault="004371C0" w:rsidP="00233245">
    <w:pPr>
      <w:pStyle w:val="Header"/>
      <w:pBdr>
        <w:bottom w:val="thickThinSmallGap" w:sz="24" w:space="1" w:color="auto"/>
      </w:pBdr>
      <w:rPr>
        <w:rFonts w:ascii="Times New Roman" w:eastAsiaTheme="majorEastAsia" w:hAnsi="Times New Roman"/>
        <w:b/>
        <w:bCs/>
        <w:i/>
        <w:iCs/>
        <w:sz w:val="24"/>
        <w:szCs w:val="24"/>
        <w:lang w:val="en-US"/>
      </w:rPr>
    </w:pPr>
    <w:r w:rsidRPr="00202C99">
      <w:rPr>
        <w:rFonts w:ascii="Times New Roman" w:eastAsiaTheme="majorEastAsia" w:hAnsi="Times New Roman"/>
        <w:b/>
        <w:bCs/>
        <w:i/>
        <w:iCs/>
        <w:sz w:val="24"/>
        <w:szCs w:val="24"/>
      </w:rPr>
      <w:t>Review Of Literature</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Paediatric Drug Poisoning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233245" w:rsidRDefault="004371C0" w:rsidP="00233245">
    <w:pPr>
      <w:pStyle w:val="Header"/>
      <w:pBdr>
        <w:bottom w:val="thickThinSmallGap" w:sz="24" w:space="1" w:color="auto"/>
      </w:pBdr>
      <w:rPr>
        <w:rFonts w:ascii="Times New Roman" w:eastAsiaTheme="majorEastAsia" w:hAnsi="Times New Roman"/>
        <w:b/>
        <w:bCs/>
        <w:i/>
        <w:iCs/>
        <w:sz w:val="24"/>
        <w:szCs w:val="24"/>
        <w:lang w:val="en-US"/>
      </w:rPr>
    </w:pPr>
    <w:r w:rsidRPr="00202C99">
      <w:rPr>
        <w:rFonts w:ascii="Times New Roman" w:eastAsiaTheme="majorEastAsia" w:hAnsi="Times New Roman"/>
        <w:b/>
        <w:bCs/>
        <w:i/>
        <w:iCs/>
        <w:sz w:val="24"/>
        <w:szCs w:val="24"/>
      </w:rPr>
      <w:t>Review Of Literature</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Paediatric Pharmacology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233245" w:rsidRDefault="004371C0" w:rsidP="00233245">
    <w:pPr>
      <w:pStyle w:val="Header"/>
      <w:pBdr>
        <w:bottom w:val="thickThinSmallGap" w:sz="24" w:space="1" w:color="auto"/>
      </w:pBdr>
      <w:rPr>
        <w:rFonts w:ascii="Times New Roman" w:eastAsiaTheme="majorEastAsia" w:hAnsi="Times New Roman"/>
        <w:b/>
        <w:bCs/>
        <w:i/>
        <w:iCs/>
        <w:sz w:val="24"/>
        <w:szCs w:val="24"/>
        <w:lang w:val="en-US"/>
      </w:rPr>
    </w:pPr>
    <w:r w:rsidRPr="00202C99">
      <w:rPr>
        <w:rFonts w:ascii="Times New Roman" w:eastAsiaTheme="majorEastAsia" w:hAnsi="Times New Roman"/>
        <w:b/>
        <w:bCs/>
        <w:i/>
        <w:iCs/>
        <w:sz w:val="24"/>
        <w:szCs w:val="24"/>
      </w:rPr>
      <w:t>Review Of Literature</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Risk Factors of Poisoning Among Children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233245" w:rsidRDefault="004371C0" w:rsidP="00233245">
    <w:pPr>
      <w:pStyle w:val="Header"/>
      <w:pBdr>
        <w:bottom w:val="thickThinSmallGap" w:sz="24" w:space="1" w:color="auto"/>
      </w:pBdr>
      <w:rPr>
        <w:rFonts w:ascii="Times New Roman" w:eastAsiaTheme="majorEastAsia" w:hAnsi="Times New Roman"/>
        <w:b/>
        <w:bCs/>
        <w:i/>
        <w:iCs/>
        <w:sz w:val="24"/>
        <w:szCs w:val="24"/>
        <w:lang w:val="en-US"/>
      </w:rPr>
    </w:pPr>
    <w:r w:rsidRPr="00202C99">
      <w:rPr>
        <w:rFonts w:ascii="Times New Roman" w:eastAsiaTheme="majorEastAsia" w:hAnsi="Times New Roman"/>
        <w:b/>
        <w:bCs/>
        <w:i/>
        <w:iCs/>
        <w:sz w:val="24"/>
        <w:szCs w:val="24"/>
      </w:rPr>
      <w:t>Review Of Literature</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Prevention of Paediatric Poisoning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1C0" w:rsidRPr="00233245" w:rsidRDefault="004371C0" w:rsidP="00233245">
    <w:pPr>
      <w:pStyle w:val="Header"/>
      <w:pBdr>
        <w:bottom w:val="thickThinSmallGap" w:sz="24" w:space="1" w:color="auto"/>
      </w:pBdr>
      <w:rPr>
        <w:rFonts w:ascii="Times New Roman" w:eastAsiaTheme="majorEastAsia" w:hAnsi="Times New Roman"/>
        <w:b/>
        <w:bCs/>
        <w:i/>
        <w:iCs/>
        <w:sz w:val="24"/>
        <w:szCs w:val="24"/>
        <w:lang w:val="en-US"/>
      </w:rPr>
    </w:pPr>
    <w:r w:rsidRPr="00202C99">
      <w:rPr>
        <w:rFonts w:ascii="Times New Roman" w:eastAsiaTheme="majorEastAsia" w:hAnsi="Times New Roman"/>
        <w:b/>
        <w:bCs/>
        <w:i/>
        <w:iCs/>
        <w:sz w:val="24"/>
        <w:szCs w:val="24"/>
      </w:rPr>
      <w:t>Review Of Literature</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w:t>
    </w:r>
    <w:r>
      <w:rPr>
        <w:rFonts w:ascii="Times New Roman" w:eastAsiaTheme="majorEastAsia" w:hAnsi="Times New Roman" w:hint="cs"/>
        <w:b/>
        <w:bCs/>
        <w:i/>
        <w:iCs/>
        <w:sz w:val="24"/>
        <w:szCs w:val="24"/>
        <w:rtl/>
      </w:rPr>
      <w:t xml:space="preserve">                  </w:t>
    </w:r>
    <w:r>
      <w:rPr>
        <w:rFonts w:ascii="Times New Roman" w:eastAsiaTheme="majorEastAsia" w:hAnsi="Times New Roman"/>
        <w:b/>
        <w:bCs/>
        <w:i/>
        <w:iCs/>
        <w:sz w:val="24"/>
        <w:szCs w:val="24"/>
      </w:rPr>
      <w:t xml:space="preserve">                        Management of Paediatric Poisoning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9pt;height:10.9pt" o:bullet="t">
        <v:imagedata r:id="rId1" o:title="mso1F9E"/>
      </v:shape>
    </w:pict>
  </w:numPicBullet>
  <w:abstractNum w:abstractNumId="0">
    <w:nsid w:val="000563EB"/>
    <w:multiLevelType w:val="hybridMultilevel"/>
    <w:tmpl w:val="5BD4414A"/>
    <w:lvl w:ilvl="0" w:tplc="38B84892">
      <w:numFmt w:val="bullet"/>
      <w:lvlText w:val=""/>
      <w:lvlJc w:val="left"/>
      <w:pPr>
        <w:ind w:left="590" w:hanging="360"/>
      </w:pPr>
      <w:rPr>
        <w:rFonts w:ascii="Symbol" w:eastAsia="Times New Roman" w:hAnsi="Symbol" w:cs="Times New Roman" w:hint="default"/>
      </w:rPr>
    </w:lvl>
    <w:lvl w:ilvl="1" w:tplc="04090003">
      <w:start w:val="1"/>
      <w:numFmt w:val="bullet"/>
      <w:lvlText w:val="o"/>
      <w:lvlJc w:val="left"/>
      <w:pPr>
        <w:ind w:left="1310" w:hanging="360"/>
      </w:pPr>
      <w:rPr>
        <w:rFonts w:ascii="Courier New" w:hAnsi="Courier New" w:cs="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cs="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cs="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1">
    <w:nsid w:val="00E3246C"/>
    <w:multiLevelType w:val="hybridMultilevel"/>
    <w:tmpl w:val="1424FF3A"/>
    <w:lvl w:ilvl="0" w:tplc="56A2D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278EA"/>
    <w:multiLevelType w:val="hybridMultilevel"/>
    <w:tmpl w:val="ED300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4C4930"/>
    <w:multiLevelType w:val="hybridMultilevel"/>
    <w:tmpl w:val="EB4EC550"/>
    <w:lvl w:ilvl="0" w:tplc="38B84892">
      <w:numFmt w:val="bullet"/>
      <w:lvlText w:val=""/>
      <w:lvlJc w:val="left"/>
      <w:pPr>
        <w:ind w:left="820" w:hanging="360"/>
      </w:pPr>
      <w:rPr>
        <w:rFonts w:ascii="Symbol" w:eastAsia="Times New Roman" w:hAnsi="Symbol" w:cs="Times New Roman" w:hint="default"/>
      </w:rPr>
    </w:lvl>
    <w:lvl w:ilvl="1" w:tplc="04090003">
      <w:start w:val="1"/>
      <w:numFmt w:val="bullet"/>
      <w:lvlText w:val="o"/>
      <w:lvlJc w:val="left"/>
      <w:pPr>
        <w:ind w:left="1670" w:hanging="360"/>
      </w:pPr>
      <w:rPr>
        <w:rFonts w:ascii="Courier New" w:hAnsi="Courier New" w:cs="Courier New" w:hint="default"/>
      </w:rPr>
    </w:lvl>
    <w:lvl w:ilvl="2" w:tplc="04090005">
      <w:start w:val="1"/>
      <w:numFmt w:val="bullet"/>
      <w:lvlText w:val=""/>
      <w:lvlJc w:val="left"/>
      <w:pPr>
        <w:ind w:left="2390" w:hanging="360"/>
      </w:pPr>
      <w:rPr>
        <w:rFonts w:ascii="Wingdings" w:hAnsi="Wingdings" w:hint="default"/>
      </w:rPr>
    </w:lvl>
    <w:lvl w:ilvl="3" w:tplc="04090001">
      <w:start w:val="1"/>
      <w:numFmt w:val="bullet"/>
      <w:lvlText w:val=""/>
      <w:lvlJc w:val="left"/>
      <w:pPr>
        <w:ind w:left="3110" w:hanging="360"/>
      </w:pPr>
      <w:rPr>
        <w:rFonts w:ascii="Symbol" w:hAnsi="Symbol" w:hint="default"/>
      </w:rPr>
    </w:lvl>
    <w:lvl w:ilvl="4" w:tplc="04090003">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4">
    <w:nsid w:val="077C3D67"/>
    <w:multiLevelType w:val="hybridMultilevel"/>
    <w:tmpl w:val="C9A2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F16B4"/>
    <w:multiLevelType w:val="hybridMultilevel"/>
    <w:tmpl w:val="EBFCD8B2"/>
    <w:lvl w:ilvl="0" w:tplc="04090007">
      <w:start w:val="1"/>
      <w:numFmt w:val="bullet"/>
      <w:lvlText w:val=""/>
      <w:lvlPicBulletId w:val="0"/>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nsid w:val="0A080335"/>
    <w:multiLevelType w:val="hybridMultilevel"/>
    <w:tmpl w:val="4DF8B87E"/>
    <w:lvl w:ilvl="0" w:tplc="38B84892">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7">
    <w:nsid w:val="0DB16ABC"/>
    <w:multiLevelType w:val="hybridMultilevel"/>
    <w:tmpl w:val="B1BAC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515C7B"/>
    <w:multiLevelType w:val="hybridMultilevel"/>
    <w:tmpl w:val="4638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C54A20"/>
    <w:multiLevelType w:val="hybridMultilevel"/>
    <w:tmpl w:val="CDB65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825C25"/>
    <w:multiLevelType w:val="hybridMultilevel"/>
    <w:tmpl w:val="88B2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100E76"/>
    <w:multiLevelType w:val="hybridMultilevel"/>
    <w:tmpl w:val="0BCABD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A97E85"/>
    <w:multiLevelType w:val="hybridMultilevel"/>
    <w:tmpl w:val="324255F8"/>
    <w:lvl w:ilvl="0" w:tplc="5D4EEFC0">
      <w:start w:val="1"/>
      <w:numFmt w:val="bullet"/>
      <w:lvlText w:val="-"/>
      <w:lvlJc w:val="left"/>
      <w:pPr>
        <w:ind w:left="590" w:hanging="360"/>
      </w:pPr>
      <w:rPr>
        <w:rFonts w:ascii="Times New Roman" w:eastAsia="Times New Roman" w:hAnsi="Times New Roman" w:cs="Times New Roman" w:hint="default"/>
      </w:rPr>
    </w:lvl>
    <w:lvl w:ilvl="1" w:tplc="04090003" w:tentative="1">
      <w:start w:val="1"/>
      <w:numFmt w:val="bullet"/>
      <w:lvlText w:val="o"/>
      <w:lvlJc w:val="left"/>
      <w:pPr>
        <w:ind w:left="1310" w:hanging="360"/>
      </w:pPr>
      <w:rPr>
        <w:rFonts w:ascii="Courier New" w:hAnsi="Courier New" w:cs="Courier New" w:hint="default"/>
      </w:rPr>
    </w:lvl>
    <w:lvl w:ilvl="2" w:tplc="04090005" w:tentative="1">
      <w:start w:val="1"/>
      <w:numFmt w:val="bullet"/>
      <w:lvlText w:val=""/>
      <w:lvlJc w:val="left"/>
      <w:pPr>
        <w:ind w:left="2030" w:hanging="360"/>
      </w:pPr>
      <w:rPr>
        <w:rFonts w:ascii="Wingdings" w:hAnsi="Wingdings" w:hint="default"/>
      </w:rPr>
    </w:lvl>
    <w:lvl w:ilvl="3" w:tplc="04090001" w:tentative="1">
      <w:start w:val="1"/>
      <w:numFmt w:val="bullet"/>
      <w:lvlText w:val=""/>
      <w:lvlJc w:val="left"/>
      <w:pPr>
        <w:ind w:left="2750" w:hanging="360"/>
      </w:pPr>
      <w:rPr>
        <w:rFonts w:ascii="Symbol" w:hAnsi="Symbol" w:hint="default"/>
      </w:rPr>
    </w:lvl>
    <w:lvl w:ilvl="4" w:tplc="04090003" w:tentative="1">
      <w:start w:val="1"/>
      <w:numFmt w:val="bullet"/>
      <w:lvlText w:val="o"/>
      <w:lvlJc w:val="left"/>
      <w:pPr>
        <w:ind w:left="3470" w:hanging="360"/>
      </w:pPr>
      <w:rPr>
        <w:rFonts w:ascii="Courier New" w:hAnsi="Courier New" w:cs="Courier New" w:hint="default"/>
      </w:rPr>
    </w:lvl>
    <w:lvl w:ilvl="5" w:tplc="04090005" w:tentative="1">
      <w:start w:val="1"/>
      <w:numFmt w:val="bullet"/>
      <w:lvlText w:val=""/>
      <w:lvlJc w:val="left"/>
      <w:pPr>
        <w:ind w:left="4190" w:hanging="360"/>
      </w:pPr>
      <w:rPr>
        <w:rFonts w:ascii="Wingdings" w:hAnsi="Wingdings" w:hint="default"/>
      </w:rPr>
    </w:lvl>
    <w:lvl w:ilvl="6" w:tplc="04090001" w:tentative="1">
      <w:start w:val="1"/>
      <w:numFmt w:val="bullet"/>
      <w:lvlText w:val=""/>
      <w:lvlJc w:val="left"/>
      <w:pPr>
        <w:ind w:left="4910" w:hanging="360"/>
      </w:pPr>
      <w:rPr>
        <w:rFonts w:ascii="Symbol" w:hAnsi="Symbol" w:hint="default"/>
      </w:rPr>
    </w:lvl>
    <w:lvl w:ilvl="7" w:tplc="04090003" w:tentative="1">
      <w:start w:val="1"/>
      <w:numFmt w:val="bullet"/>
      <w:lvlText w:val="o"/>
      <w:lvlJc w:val="left"/>
      <w:pPr>
        <w:ind w:left="5630" w:hanging="360"/>
      </w:pPr>
      <w:rPr>
        <w:rFonts w:ascii="Courier New" w:hAnsi="Courier New" w:cs="Courier New" w:hint="default"/>
      </w:rPr>
    </w:lvl>
    <w:lvl w:ilvl="8" w:tplc="04090005" w:tentative="1">
      <w:start w:val="1"/>
      <w:numFmt w:val="bullet"/>
      <w:lvlText w:val=""/>
      <w:lvlJc w:val="left"/>
      <w:pPr>
        <w:ind w:left="6350" w:hanging="360"/>
      </w:pPr>
      <w:rPr>
        <w:rFonts w:ascii="Wingdings" w:hAnsi="Wingdings" w:hint="default"/>
      </w:rPr>
    </w:lvl>
  </w:abstractNum>
  <w:abstractNum w:abstractNumId="13">
    <w:nsid w:val="1EB77AA0"/>
    <w:multiLevelType w:val="multilevel"/>
    <w:tmpl w:val="595C9D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nsid w:val="21493162"/>
    <w:multiLevelType w:val="multilevel"/>
    <w:tmpl w:val="57C6A3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4E50EB0"/>
    <w:multiLevelType w:val="hybridMultilevel"/>
    <w:tmpl w:val="64CA2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AC7B82"/>
    <w:multiLevelType w:val="hybridMultilevel"/>
    <w:tmpl w:val="EF7AB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5A0D46"/>
    <w:multiLevelType w:val="hybridMultilevel"/>
    <w:tmpl w:val="C60AE7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DEA09C3"/>
    <w:multiLevelType w:val="hybridMultilevel"/>
    <w:tmpl w:val="63505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0BE6DA7"/>
    <w:multiLevelType w:val="hybridMultilevel"/>
    <w:tmpl w:val="C4B6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574CD9"/>
    <w:multiLevelType w:val="hybridMultilevel"/>
    <w:tmpl w:val="CB7CE9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B4C6405"/>
    <w:multiLevelType w:val="hybridMultilevel"/>
    <w:tmpl w:val="8588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677ED1"/>
    <w:multiLevelType w:val="multilevel"/>
    <w:tmpl w:val="FA1C8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B46A6A"/>
    <w:multiLevelType w:val="hybridMultilevel"/>
    <w:tmpl w:val="4BA43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FE71FE"/>
    <w:multiLevelType w:val="multilevel"/>
    <w:tmpl w:val="DDE8A41E"/>
    <w:lvl w:ilvl="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4656C9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4795FB1"/>
    <w:multiLevelType w:val="hybridMultilevel"/>
    <w:tmpl w:val="CC06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FA7958"/>
    <w:multiLevelType w:val="multilevel"/>
    <w:tmpl w:val="FB2462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B85676"/>
    <w:multiLevelType w:val="hybridMultilevel"/>
    <w:tmpl w:val="EFB6E306"/>
    <w:lvl w:ilvl="0" w:tplc="FECEBE7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291E55"/>
    <w:multiLevelType w:val="hybridMultilevel"/>
    <w:tmpl w:val="6A76CABC"/>
    <w:lvl w:ilvl="0" w:tplc="D040DA7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063888"/>
    <w:multiLevelType w:val="hybridMultilevel"/>
    <w:tmpl w:val="EE6A06B4"/>
    <w:lvl w:ilvl="0" w:tplc="56A2DD7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242F4B"/>
    <w:multiLevelType w:val="multilevel"/>
    <w:tmpl w:val="1A7EB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7171AF7"/>
    <w:multiLevelType w:val="multilevel"/>
    <w:tmpl w:val="489293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3C19F5"/>
    <w:multiLevelType w:val="hybridMultilevel"/>
    <w:tmpl w:val="F426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756030"/>
    <w:multiLevelType w:val="multilevel"/>
    <w:tmpl w:val="B6CC40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D90054"/>
    <w:multiLevelType w:val="hybridMultilevel"/>
    <w:tmpl w:val="7F16D97A"/>
    <w:lvl w:ilvl="0" w:tplc="56A2D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4982B1D"/>
    <w:multiLevelType w:val="multilevel"/>
    <w:tmpl w:val="70E09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73D26B3"/>
    <w:multiLevelType w:val="multilevel"/>
    <w:tmpl w:val="A7CE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CA403E3"/>
    <w:multiLevelType w:val="hybridMultilevel"/>
    <w:tmpl w:val="B77C8A10"/>
    <w:lvl w:ilvl="0" w:tplc="B9E2A7A0">
      <w:start w:val="1"/>
      <w:numFmt w:val="decimal"/>
      <w:lvlText w:val="%1."/>
      <w:lvlJc w:val="left"/>
      <w:pPr>
        <w:ind w:left="1080" w:hanging="720"/>
      </w:pPr>
      <w:rPr>
        <w:rFonts w:hint="default"/>
      </w:rPr>
    </w:lvl>
    <w:lvl w:ilvl="1" w:tplc="1C2E79D4">
      <w:start w:val="1"/>
      <w:numFmt w:val="bullet"/>
      <w:lvlText w:val="•"/>
      <w:lvlJc w:val="left"/>
      <w:pPr>
        <w:ind w:left="1800" w:hanging="72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E1F51B5"/>
    <w:multiLevelType w:val="hybridMultilevel"/>
    <w:tmpl w:val="B23E6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5"/>
  </w:num>
  <w:num w:numId="4">
    <w:abstractNumId w:val="11"/>
  </w:num>
  <w:num w:numId="5">
    <w:abstractNumId w:val="17"/>
  </w:num>
  <w:num w:numId="6">
    <w:abstractNumId w:val="26"/>
  </w:num>
  <w:num w:numId="7">
    <w:abstractNumId w:val="16"/>
  </w:num>
  <w:num w:numId="8">
    <w:abstractNumId w:val="4"/>
  </w:num>
  <w:num w:numId="9">
    <w:abstractNumId w:val="18"/>
  </w:num>
  <w:num w:numId="10">
    <w:abstractNumId w:val="9"/>
  </w:num>
  <w:num w:numId="11">
    <w:abstractNumId w:val="8"/>
  </w:num>
  <w:num w:numId="12">
    <w:abstractNumId w:val="21"/>
  </w:num>
  <w:num w:numId="13">
    <w:abstractNumId w:val="33"/>
  </w:num>
  <w:num w:numId="14">
    <w:abstractNumId w:val="35"/>
  </w:num>
  <w:num w:numId="15">
    <w:abstractNumId w:val="30"/>
  </w:num>
  <w:num w:numId="16">
    <w:abstractNumId w:val="0"/>
  </w:num>
  <w:num w:numId="17">
    <w:abstractNumId w:val="6"/>
  </w:num>
  <w:num w:numId="18">
    <w:abstractNumId w:val="3"/>
  </w:num>
  <w:num w:numId="19">
    <w:abstractNumId w:val="12"/>
  </w:num>
  <w:num w:numId="20">
    <w:abstractNumId w:val="24"/>
  </w:num>
  <w:num w:numId="21">
    <w:abstractNumId w:val="29"/>
  </w:num>
  <w:num w:numId="22">
    <w:abstractNumId w:val="7"/>
  </w:num>
  <w:num w:numId="23">
    <w:abstractNumId w:val="32"/>
  </w:num>
  <w:num w:numId="24">
    <w:abstractNumId w:val="22"/>
  </w:num>
  <w:num w:numId="25">
    <w:abstractNumId w:val="37"/>
  </w:num>
  <w:num w:numId="26">
    <w:abstractNumId w:val="27"/>
  </w:num>
  <w:num w:numId="27">
    <w:abstractNumId w:val="36"/>
  </w:num>
  <w:num w:numId="28">
    <w:abstractNumId w:val="34"/>
  </w:num>
  <w:num w:numId="29">
    <w:abstractNumId w:val="13"/>
  </w:num>
  <w:num w:numId="30">
    <w:abstractNumId w:val="14"/>
  </w:num>
  <w:num w:numId="31">
    <w:abstractNumId w:val="31"/>
  </w:num>
  <w:num w:numId="32">
    <w:abstractNumId w:val="25"/>
  </w:num>
  <w:num w:numId="33">
    <w:abstractNumId w:val="38"/>
  </w:num>
  <w:num w:numId="34">
    <w:abstractNumId w:val="19"/>
  </w:num>
  <w:num w:numId="35">
    <w:abstractNumId w:val="2"/>
  </w:num>
  <w:num w:numId="36">
    <w:abstractNumId w:val="39"/>
  </w:num>
  <w:num w:numId="37">
    <w:abstractNumId w:val="15"/>
  </w:num>
  <w:num w:numId="38">
    <w:abstractNumId w:val="1"/>
  </w:num>
  <w:num w:numId="39">
    <w:abstractNumId w:val="23"/>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tddwsz9w5rtterv2j5axahez0dsvp9v2d5&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record-ids&gt;&lt;/item&gt;&lt;/Libraries&gt;"/>
  </w:docVars>
  <w:rsids>
    <w:rsidRoot w:val="00F5209D"/>
    <w:rsid w:val="00074956"/>
    <w:rsid w:val="00090EDC"/>
    <w:rsid w:val="000E1DAD"/>
    <w:rsid w:val="00161ABC"/>
    <w:rsid w:val="001E4A46"/>
    <w:rsid w:val="00233245"/>
    <w:rsid w:val="002446D5"/>
    <w:rsid w:val="00255A2B"/>
    <w:rsid w:val="00275412"/>
    <w:rsid w:val="002C54CF"/>
    <w:rsid w:val="00315FC1"/>
    <w:rsid w:val="00373B0A"/>
    <w:rsid w:val="00380978"/>
    <w:rsid w:val="003A4428"/>
    <w:rsid w:val="003A4656"/>
    <w:rsid w:val="003E1484"/>
    <w:rsid w:val="003E328E"/>
    <w:rsid w:val="00433F73"/>
    <w:rsid w:val="004371C0"/>
    <w:rsid w:val="004C6EA4"/>
    <w:rsid w:val="00500E31"/>
    <w:rsid w:val="0058232C"/>
    <w:rsid w:val="00585BD7"/>
    <w:rsid w:val="005B04A4"/>
    <w:rsid w:val="005C1C6F"/>
    <w:rsid w:val="00610F79"/>
    <w:rsid w:val="006249CD"/>
    <w:rsid w:val="00636C39"/>
    <w:rsid w:val="006A3CA1"/>
    <w:rsid w:val="006D6E28"/>
    <w:rsid w:val="006E3465"/>
    <w:rsid w:val="00714709"/>
    <w:rsid w:val="00716F11"/>
    <w:rsid w:val="007461CB"/>
    <w:rsid w:val="00750003"/>
    <w:rsid w:val="007551F2"/>
    <w:rsid w:val="007913C8"/>
    <w:rsid w:val="00794709"/>
    <w:rsid w:val="007B3716"/>
    <w:rsid w:val="007C3732"/>
    <w:rsid w:val="00861A23"/>
    <w:rsid w:val="00887C89"/>
    <w:rsid w:val="008974B0"/>
    <w:rsid w:val="008C0AE9"/>
    <w:rsid w:val="008D18C7"/>
    <w:rsid w:val="0092311A"/>
    <w:rsid w:val="00946428"/>
    <w:rsid w:val="00964D5A"/>
    <w:rsid w:val="00A37D59"/>
    <w:rsid w:val="00AC1045"/>
    <w:rsid w:val="00AC2EAE"/>
    <w:rsid w:val="00AD0E07"/>
    <w:rsid w:val="00AF4003"/>
    <w:rsid w:val="00B506A8"/>
    <w:rsid w:val="00BB0AAD"/>
    <w:rsid w:val="00BC2B68"/>
    <w:rsid w:val="00BE3695"/>
    <w:rsid w:val="00BF0FC7"/>
    <w:rsid w:val="00C26F1E"/>
    <w:rsid w:val="00C36953"/>
    <w:rsid w:val="00C64E2B"/>
    <w:rsid w:val="00C66275"/>
    <w:rsid w:val="00C834FE"/>
    <w:rsid w:val="00C8579C"/>
    <w:rsid w:val="00DB67DF"/>
    <w:rsid w:val="00E82E21"/>
    <w:rsid w:val="00E839D0"/>
    <w:rsid w:val="00EA7444"/>
    <w:rsid w:val="00EA74CF"/>
    <w:rsid w:val="00ED53ED"/>
    <w:rsid w:val="00F04C2F"/>
    <w:rsid w:val="00F16110"/>
    <w:rsid w:val="00F472C3"/>
    <w:rsid w:val="00F5209D"/>
    <w:rsid w:val="00F75E9A"/>
    <w:rsid w:val="00F82C95"/>
    <w:rsid w:val="00FE23E1"/>
    <w:rsid w:val="00FF007B"/>
    <w:rsid w:val="00FF0A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CB0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11A"/>
    <w:pPr>
      <w:bidi/>
      <w:spacing w:after="200" w:line="276" w:lineRule="auto"/>
    </w:pPr>
  </w:style>
  <w:style w:type="paragraph" w:styleId="Heading1">
    <w:name w:val="heading 1"/>
    <w:basedOn w:val="Normal"/>
    <w:link w:val="Heading1Char"/>
    <w:uiPriority w:val="1"/>
    <w:qFormat/>
    <w:rsid w:val="001E4A46"/>
    <w:pPr>
      <w:widowControl w:val="0"/>
      <w:autoSpaceDE w:val="0"/>
      <w:autoSpaceDN w:val="0"/>
      <w:bidi w:val="0"/>
      <w:spacing w:before="84" w:after="0" w:line="240" w:lineRule="auto"/>
      <w:ind w:left="1792" w:right="1653"/>
      <w:jc w:val="center"/>
      <w:outlineLvl w:val="0"/>
    </w:pPr>
    <w:rPr>
      <w:rFonts w:ascii="Times New Roman" w:eastAsia="Times New Roman" w:hAnsi="Times New Roman" w:cs="Times New Roman"/>
      <w:b/>
      <w:bCs/>
      <w:sz w:val="40"/>
      <w:szCs w:val="4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2311A"/>
    <w:pPr>
      <w:widowControl w:val="0"/>
      <w:autoSpaceDE w:val="0"/>
      <w:autoSpaceDN w:val="0"/>
      <w:bidi w:val="0"/>
      <w:spacing w:after="0" w:line="240" w:lineRule="auto"/>
      <w:ind w:left="230"/>
      <w:jc w:val="center"/>
    </w:pPr>
    <w:rPr>
      <w:rFonts w:ascii="Times New Roman" w:eastAsia="Times New Roman" w:hAnsi="Times New Roman" w:cs="Times New Roman"/>
      <w:lang w:bidi="ar-EG"/>
    </w:rPr>
  </w:style>
  <w:style w:type="paragraph" w:styleId="Header">
    <w:name w:val="header"/>
    <w:basedOn w:val="Normal"/>
    <w:link w:val="HeaderChar"/>
    <w:uiPriority w:val="99"/>
    <w:unhideWhenUsed/>
    <w:rsid w:val="0092311A"/>
    <w:pPr>
      <w:tabs>
        <w:tab w:val="center" w:pos="4680"/>
        <w:tab w:val="right" w:pos="9360"/>
      </w:tabs>
      <w:bidi w:val="0"/>
    </w:pPr>
    <w:rPr>
      <w:rFonts w:ascii="Calibri" w:eastAsia="Calibri" w:hAnsi="Calibri" w:cs="Times New Roman"/>
      <w:lang w:val="en-GB"/>
    </w:rPr>
  </w:style>
  <w:style w:type="character" w:customStyle="1" w:styleId="HeaderChar">
    <w:name w:val="Header Char"/>
    <w:basedOn w:val="DefaultParagraphFont"/>
    <w:link w:val="Header"/>
    <w:uiPriority w:val="99"/>
    <w:rsid w:val="0092311A"/>
    <w:rPr>
      <w:rFonts w:ascii="Calibri" w:eastAsia="Calibri" w:hAnsi="Calibri" w:cs="Times New Roman"/>
      <w:lang w:val="en-GB"/>
    </w:rPr>
  </w:style>
  <w:style w:type="paragraph" w:styleId="Footer">
    <w:name w:val="footer"/>
    <w:basedOn w:val="Normal"/>
    <w:link w:val="FooterChar"/>
    <w:uiPriority w:val="99"/>
    <w:unhideWhenUsed/>
    <w:rsid w:val="0092311A"/>
    <w:pPr>
      <w:tabs>
        <w:tab w:val="center" w:pos="4680"/>
        <w:tab w:val="right" w:pos="9360"/>
      </w:tabs>
      <w:bidi w:val="0"/>
    </w:pPr>
    <w:rPr>
      <w:rFonts w:ascii="Calibri" w:eastAsia="Calibri" w:hAnsi="Calibri" w:cs="Times New Roman"/>
      <w:lang w:val="en-GB"/>
    </w:rPr>
  </w:style>
  <w:style w:type="character" w:customStyle="1" w:styleId="FooterChar">
    <w:name w:val="Footer Char"/>
    <w:basedOn w:val="DefaultParagraphFont"/>
    <w:link w:val="Footer"/>
    <w:uiPriority w:val="99"/>
    <w:rsid w:val="0092311A"/>
    <w:rPr>
      <w:rFonts w:ascii="Calibri" w:eastAsia="Calibri" w:hAnsi="Calibri" w:cs="Times New Roman"/>
      <w:lang w:val="en-GB"/>
    </w:rPr>
  </w:style>
  <w:style w:type="table" w:customStyle="1" w:styleId="TableGrid4">
    <w:name w:val="Table Grid4"/>
    <w:basedOn w:val="TableNormal"/>
    <w:next w:val="TableGrid"/>
    <w:uiPriority w:val="59"/>
    <w:rsid w:val="0092311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92311A"/>
    <w:pPr>
      <w:spacing w:after="0" w:line="240" w:lineRule="auto"/>
    </w:pPr>
    <w:rPr>
      <w:rFonts w:eastAsiaTheme="minorEastAsia"/>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link w:val="ListParagraphChar"/>
    <w:uiPriority w:val="34"/>
    <w:qFormat/>
    <w:rsid w:val="0092311A"/>
    <w:pPr>
      <w:bidi w:val="0"/>
      <w:ind w:left="720"/>
      <w:contextualSpacing/>
    </w:pPr>
  </w:style>
  <w:style w:type="character" w:customStyle="1" w:styleId="ListParagraphChar">
    <w:name w:val="List Paragraph Char"/>
    <w:basedOn w:val="DefaultParagraphFont"/>
    <w:link w:val="ListParagraph"/>
    <w:uiPriority w:val="34"/>
    <w:locked/>
    <w:rsid w:val="0092311A"/>
  </w:style>
  <w:style w:type="table" w:styleId="TableGrid">
    <w:name w:val="Table Grid"/>
    <w:basedOn w:val="TableNormal"/>
    <w:uiPriority w:val="39"/>
    <w:rsid w:val="00923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1E4A46"/>
    <w:rPr>
      <w:rFonts w:ascii="Times New Roman" w:eastAsia="Times New Roman" w:hAnsi="Times New Roman" w:cs="Times New Roman"/>
      <w:b/>
      <w:bCs/>
      <w:sz w:val="40"/>
      <w:szCs w:val="40"/>
      <w:lang w:bidi="en-US"/>
    </w:rPr>
  </w:style>
  <w:style w:type="paragraph" w:styleId="BodyText">
    <w:name w:val="Body Text"/>
    <w:basedOn w:val="Normal"/>
    <w:link w:val="BodyTextChar"/>
    <w:uiPriority w:val="99"/>
    <w:rsid w:val="001E4A46"/>
    <w:pPr>
      <w:widowControl w:val="0"/>
      <w:autoSpaceDE w:val="0"/>
      <w:autoSpaceDN w:val="0"/>
      <w:bidi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1E4A46"/>
    <w:rPr>
      <w:rFonts w:ascii="Times New Roman" w:eastAsia="Times New Roman" w:hAnsi="Times New Roman" w:cs="Times New Roman"/>
      <w:sz w:val="28"/>
      <w:szCs w:val="28"/>
    </w:rPr>
  </w:style>
  <w:style w:type="paragraph" w:customStyle="1" w:styleId="EndNoteBibliography">
    <w:name w:val="EndNote Bibliography"/>
    <w:basedOn w:val="Normal"/>
    <w:link w:val="EndNoteBibliographyChar"/>
    <w:rsid w:val="00074956"/>
    <w:pPr>
      <w:bidi w:val="0"/>
      <w:spacing w:after="160" w:line="240" w:lineRule="auto"/>
      <w:jc w:val="both"/>
    </w:pPr>
    <w:rPr>
      <w:rFonts w:ascii="Calibri" w:eastAsia="Calibri" w:hAnsi="Calibri" w:cs="Calibri"/>
      <w:noProof/>
    </w:rPr>
  </w:style>
  <w:style w:type="character" w:customStyle="1" w:styleId="EndNoteBibliographyChar">
    <w:name w:val="EndNote Bibliography Char"/>
    <w:basedOn w:val="DefaultParagraphFont"/>
    <w:link w:val="EndNoteBibliography"/>
    <w:rsid w:val="00074956"/>
    <w:rPr>
      <w:rFonts w:ascii="Calibri" w:eastAsia="Calibri" w:hAnsi="Calibri" w:cs="Calibri"/>
      <w:noProof/>
    </w:rPr>
  </w:style>
  <w:style w:type="table" w:customStyle="1" w:styleId="GridTable3Accent1">
    <w:name w:val="Grid Table 3 Accent 1"/>
    <w:basedOn w:val="TableNormal"/>
    <w:uiPriority w:val="48"/>
    <w:rsid w:val="00090ED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3Accent5">
    <w:name w:val="Grid Table 3 Accent 5"/>
    <w:basedOn w:val="TableNormal"/>
    <w:uiPriority w:val="48"/>
    <w:rsid w:val="00090EDC"/>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6ColorfulAccent1">
    <w:name w:val="Grid Table 6 Colorful Accent 1"/>
    <w:basedOn w:val="TableNormal"/>
    <w:uiPriority w:val="51"/>
    <w:rsid w:val="00090EDC"/>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ndNoteBibliographyTitle">
    <w:name w:val="EndNote Bibliography Title"/>
    <w:basedOn w:val="Normal"/>
    <w:link w:val="EndNoteBibliographyTitleChar"/>
    <w:rsid w:val="00964D5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64D5A"/>
    <w:rPr>
      <w:rFonts w:ascii="Calibri" w:hAnsi="Calibri" w:cs="Calibri"/>
      <w:noProof/>
    </w:rPr>
  </w:style>
  <w:style w:type="paragraph" w:styleId="NormalWeb">
    <w:name w:val="Normal (Web)"/>
    <w:basedOn w:val="Normal"/>
    <w:uiPriority w:val="99"/>
    <w:semiHidden/>
    <w:unhideWhenUsed/>
    <w:rsid w:val="00161AB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1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11A"/>
    <w:pPr>
      <w:bidi/>
      <w:spacing w:after="200" w:line="276" w:lineRule="auto"/>
    </w:pPr>
  </w:style>
  <w:style w:type="paragraph" w:styleId="Heading1">
    <w:name w:val="heading 1"/>
    <w:basedOn w:val="Normal"/>
    <w:link w:val="Heading1Char"/>
    <w:uiPriority w:val="1"/>
    <w:qFormat/>
    <w:rsid w:val="001E4A46"/>
    <w:pPr>
      <w:widowControl w:val="0"/>
      <w:autoSpaceDE w:val="0"/>
      <w:autoSpaceDN w:val="0"/>
      <w:bidi w:val="0"/>
      <w:spacing w:before="84" w:after="0" w:line="240" w:lineRule="auto"/>
      <w:ind w:left="1792" w:right="1653"/>
      <w:jc w:val="center"/>
      <w:outlineLvl w:val="0"/>
    </w:pPr>
    <w:rPr>
      <w:rFonts w:ascii="Times New Roman" w:eastAsia="Times New Roman" w:hAnsi="Times New Roman" w:cs="Times New Roman"/>
      <w:b/>
      <w:bCs/>
      <w:sz w:val="40"/>
      <w:szCs w:val="4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2311A"/>
    <w:pPr>
      <w:widowControl w:val="0"/>
      <w:autoSpaceDE w:val="0"/>
      <w:autoSpaceDN w:val="0"/>
      <w:bidi w:val="0"/>
      <w:spacing w:after="0" w:line="240" w:lineRule="auto"/>
      <w:ind w:left="230"/>
      <w:jc w:val="center"/>
    </w:pPr>
    <w:rPr>
      <w:rFonts w:ascii="Times New Roman" w:eastAsia="Times New Roman" w:hAnsi="Times New Roman" w:cs="Times New Roman"/>
      <w:lang w:bidi="ar-EG"/>
    </w:rPr>
  </w:style>
  <w:style w:type="paragraph" w:styleId="Header">
    <w:name w:val="header"/>
    <w:basedOn w:val="Normal"/>
    <w:link w:val="HeaderChar"/>
    <w:uiPriority w:val="99"/>
    <w:unhideWhenUsed/>
    <w:rsid w:val="0092311A"/>
    <w:pPr>
      <w:tabs>
        <w:tab w:val="center" w:pos="4680"/>
        <w:tab w:val="right" w:pos="9360"/>
      </w:tabs>
      <w:bidi w:val="0"/>
    </w:pPr>
    <w:rPr>
      <w:rFonts w:ascii="Calibri" w:eastAsia="Calibri" w:hAnsi="Calibri" w:cs="Times New Roman"/>
      <w:lang w:val="en-GB"/>
    </w:rPr>
  </w:style>
  <w:style w:type="character" w:customStyle="1" w:styleId="HeaderChar">
    <w:name w:val="Header Char"/>
    <w:basedOn w:val="DefaultParagraphFont"/>
    <w:link w:val="Header"/>
    <w:uiPriority w:val="99"/>
    <w:rsid w:val="0092311A"/>
    <w:rPr>
      <w:rFonts w:ascii="Calibri" w:eastAsia="Calibri" w:hAnsi="Calibri" w:cs="Times New Roman"/>
      <w:lang w:val="en-GB"/>
    </w:rPr>
  </w:style>
  <w:style w:type="paragraph" w:styleId="Footer">
    <w:name w:val="footer"/>
    <w:basedOn w:val="Normal"/>
    <w:link w:val="FooterChar"/>
    <w:uiPriority w:val="99"/>
    <w:unhideWhenUsed/>
    <w:rsid w:val="0092311A"/>
    <w:pPr>
      <w:tabs>
        <w:tab w:val="center" w:pos="4680"/>
        <w:tab w:val="right" w:pos="9360"/>
      </w:tabs>
      <w:bidi w:val="0"/>
    </w:pPr>
    <w:rPr>
      <w:rFonts w:ascii="Calibri" w:eastAsia="Calibri" w:hAnsi="Calibri" w:cs="Times New Roman"/>
      <w:lang w:val="en-GB"/>
    </w:rPr>
  </w:style>
  <w:style w:type="character" w:customStyle="1" w:styleId="FooterChar">
    <w:name w:val="Footer Char"/>
    <w:basedOn w:val="DefaultParagraphFont"/>
    <w:link w:val="Footer"/>
    <w:uiPriority w:val="99"/>
    <w:rsid w:val="0092311A"/>
    <w:rPr>
      <w:rFonts w:ascii="Calibri" w:eastAsia="Calibri" w:hAnsi="Calibri" w:cs="Times New Roman"/>
      <w:lang w:val="en-GB"/>
    </w:rPr>
  </w:style>
  <w:style w:type="table" w:customStyle="1" w:styleId="TableGrid4">
    <w:name w:val="Table Grid4"/>
    <w:basedOn w:val="TableNormal"/>
    <w:next w:val="TableGrid"/>
    <w:uiPriority w:val="59"/>
    <w:rsid w:val="0092311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92311A"/>
    <w:pPr>
      <w:spacing w:after="0" w:line="240" w:lineRule="auto"/>
    </w:pPr>
    <w:rPr>
      <w:rFonts w:eastAsiaTheme="minorEastAsia"/>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link w:val="ListParagraphChar"/>
    <w:uiPriority w:val="34"/>
    <w:qFormat/>
    <w:rsid w:val="0092311A"/>
    <w:pPr>
      <w:bidi w:val="0"/>
      <w:ind w:left="720"/>
      <w:contextualSpacing/>
    </w:pPr>
  </w:style>
  <w:style w:type="character" w:customStyle="1" w:styleId="ListParagraphChar">
    <w:name w:val="List Paragraph Char"/>
    <w:basedOn w:val="DefaultParagraphFont"/>
    <w:link w:val="ListParagraph"/>
    <w:uiPriority w:val="34"/>
    <w:locked/>
    <w:rsid w:val="0092311A"/>
  </w:style>
  <w:style w:type="table" w:styleId="TableGrid">
    <w:name w:val="Table Grid"/>
    <w:basedOn w:val="TableNormal"/>
    <w:uiPriority w:val="39"/>
    <w:rsid w:val="00923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1E4A46"/>
    <w:rPr>
      <w:rFonts w:ascii="Times New Roman" w:eastAsia="Times New Roman" w:hAnsi="Times New Roman" w:cs="Times New Roman"/>
      <w:b/>
      <w:bCs/>
      <w:sz w:val="40"/>
      <w:szCs w:val="40"/>
      <w:lang w:bidi="en-US"/>
    </w:rPr>
  </w:style>
  <w:style w:type="paragraph" w:styleId="BodyText">
    <w:name w:val="Body Text"/>
    <w:basedOn w:val="Normal"/>
    <w:link w:val="BodyTextChar"/>
    <w:uiPriority w:val="99"/>
    <w:rsid w:val="001E4A46"/>
    <w:pPr>
      <w:widowControl w:val="0"/>
      <w:autoSpaceDE w:val="0"/>
      <w:autoSpaceDN w:val="0"/>
      <w:bidi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1E4A46"/>
    <w:rPr>
      <w:rFonts w:ascii="Times New Roman" w:eastAsia="Times New Roman" w:hAnsi="Times New Roman" w:cs="Times New Roman"/>
      <w:sz w:val="28"/>
      <w:szCs w:val="28"/>
    </w:rPr>
  </w:style>
  <w:style w:type="paragraph" w:customStyle="1" w:styleId="EndNoteBibliography">
    <w:name w:val="EndNote Bibliography"/>
    <w:basedOn w:val="Normal"/>
    <w:link w:val="EndNoteBibliographyChar"/>
    <w:rsid w:val="00074956"/>
    <w:pPr>
      <w:bidi w:val="0"/>
      <w:spacing w:after="160" w:line="240" w:lineRule="auto"/>
      <w:jc w:val="both"/>
    </w:pPr>
    <w:rPr>
      <w:rFonts w:ascii="Calibri" w:eastAsia="Calibri" w:hAnsi="Calibri" w:cs="Calibri"/>
      <w:noProof/>
    </w:rPr>
  </w:style>
  <w:style w:type="character" w:customStyle="1" w:styleId="EndNoteBibliographyChar">
    <w:name w:val="EndNote Bibliography Char"/>
    <w:basedOn w:val="DefaultParagraphFont"/>
    <w:link w:val="EndNoteBibliography"/>
    <w:rsid w:val="00074956"/>
    <w:rPr>
      <w:rFonts w:ascii="Calibri" w:eastAsia="Calibri" w:hAnsi="Calibri" w:cs="Calibri"/>
      <w:noProof/>
    </w:rPr>
  </w:style>
  <w:style w:type="table" w:customStyle="1" w:styleId="GridTable3Accent1">
    <w:name w:val="Grid Table 3 Accent 1"/>
    <w:basedOn w:val="TableNormal"/>
    <w:uiPriority w:val="48"/>
    <w:rsid w:val="00090ED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3Accent5">
    <w:name w:val="Grid Table 3 Accent 5"/>
    <w:basedOn w:val="TableNormal"/>
    <w:uiPriority w:val="48"/>
    <w:rsid w:val="00090EDC"/>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6ColorfulAccent1">
    <w:name w:val="Grid Table 6 Colorful Accent 1"/>
    <w:basedOn w:val="TableNormal"/>
    <w:uiPriority w:val="51"/>
    <w:rsid w:val="00090EDC"/>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ndNoteBibliographyTitle">
    <w:name w:val="EndNote Bibliography Title"/>
    <w:basedOn w:val="Normal"/>
    <w:link w:val="EndNoteBibliographyTitleChar"/>
    <w:rsid w:val="00964D5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64D5A"/>
    <w:rPr>
      <w:rFonts w:ascii="Calibri" w:hAnsi="Calibri" w:cs="Calibri"/>
      <w:noProof/>
    </w:rPr>
  </w:style>
  <w:style w:type="paragraph" w:styleId="NormalWeb">
    <w:name w:val="Normal (Web)"/>
    <w:basedOn w:val="Normal"/>
    <w:uiPriority w:val="99"/>
    <w:semiHidden/>
    <w:unhideWhenUsed/>
    <w:rsid w:val="00161AB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1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footer" Target="footer5.xml"/><Relationship Id="rId21" Type="http://schemas.openxmlformats.org/officeDocument/2006/relationships/image" Target="media/image7.png"/><Relationship Id="rId34" Type="http://schemas.openxmlformats.org/officeDocument/2006/relationships/chart" Target="charts/chart4.xml"/><Relationship Id="rId42" Type="http://schemas.openxmlformats.org/officeDocument/2006/relationships/hyperlink" Target="http://www.aapcc.org/national-poison-data-system" TargetMode="External"/><Relationship Id="rId47" Type="http://schemas.openxmlformats.org/officeDocument/2006/relationships/hyperlink" Target="https://doi.org/10.5005/jp-journals-10071-23316" TargetMode="External"/><Relationship Id="rId50" Type="http://schemas.openxmlformats.org/officeDocument/2006/relationships/hyperlink" Target="https://doi.org/10.15171/jcs.2016.027" TargetMode="External"/><Relationship Id="rId55" Type="http://schemas.openxmlformats.org/officeDocument/2006/relationships/footer" Target="footer6.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header" Target="header9.xml"/><Relationship Id="rId41" Type="http://schemas.openxmlformats.org/officeDocument/2006/relationships/header" Target="header16.xml"/><Relationship Id="rId54" Type="http://schemas.openxmlformats.org/officeDocument/2006/relationships/header" Target="header1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chart" Target="charts/chart2.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yperlink" Target="http://www&#8203;.cpsc.gov/cpscpub&#8203;/prerel/prhtml02/02015.html" TargetMode="External"/><Relationship Id="rId53" Type="http://schemas.openxmlformats.org/officeDocument/2006/relationships/header" Target="header17.xml"/><Relationship Id="rId58"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9.jpeg"/><Relationship Id="rId36" Type="http://schemas.openxmlformats.org/officeDocument/2006/relationships/header" Target="header12.xml"/><Relationship Id="rId49" Type="http://schemas.openxmlformats.org/officeDocument/2006/relationships/hyperlink" Target="https://doi.org/10.1542/peds.2014-0840" TargetMode="External"/><Relationship Id="rId57" Type="http://schemas.openxmlformats.org/officeDocument/2006/relationships/hyperlink" Target="http://www.google.com.eg/imgres?imgurl=http://www.kindar.net/uploads/33-books.gif&amp;imgrefurl=http://www.kindar.net/?page_id=67&amp;usg=__r3MYFwK2D8VCUDV5bPfYJzC2CKM=&amp;h=300&amp;w=300&amp;sz=28&amp;hl=ar&amp;start=2&amp;zoom=1&amp;tbnid=Xf58qCfQNAwziM:&amp;tbnh=116&amp;tbnw=116&amp;ei=jyNATaGhHoaB4QbmnaXiAg&amp;prev=/images?q=books&amp;hl=ar&amp;sa=G&amp;gbv=2&amp;tbs=isch:1&amp;itbs=1" TargetMode="External"/><Relationship Id="rId61" Type="http://schemas.openxmlformats.org/officeDocument/2006/relationships/footer" Target="footer7.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chart" Target="charts/chart1.xml"/><Relationship Id="rId44" Type="http://schemas.openxmlformats.org/officeDocument/2006/relationships/hyperlink" Target="https://doi.org/10.1016/j.neuro.2016.01.009" TargetMode="External"/><Relationship Id="rId52" Type="http://schemas.openxmlformats.org/officeDocument/2006/relationships/hyperlink" Target="https://doi.org/10.1016/j.scitotenv.2022.158020" TargetMode="External"/><Relationship Id="rId60"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1.xml"/><Relationship Id="rId43" Type="http://schemas.openxmlformats.org/officeDocument/2006/relationships/hyperlink" Target="https://doi.org/10.1542/peds.2012-2978" TargetMode="External"/><Relationship Id="rId48" Type="http://schemas.openxmlformats.org/officeDocument/2006/relationships/hyperlink" Target="https://doi.org/10.1080/10937404.2012.710134" TargetMode="External"/><Relationship Id="rId56"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https://doi.org/10.1016/j.ajem.2004.06.001"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chart" Target="charts/chart3.xml"/><Relationship Id="rId38" Type="http://schemas.openxmlformats.org/officeDocument/2006/relationships/header" Target="header14.xml"/><Relationship Id="rId46" Type="http://schemas.openxmlformats.org/officeDocument/2006/relationships/hyperlink" Target="https://doi.org/10.1080/15563650.2021.1989785" TargetMode="External"/><Relationship Id="rId59" Type="http://schemas.openxmlformats.org/officeDocument/2006/relationships/image" Target="http://t2.gstatic.com/images?q=tbn:Xf58qCfQNAwziM:http://www.kindar.net/uploads/33-books.gi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Percentage</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C2F-40E2-BC67-BF3B757E7DE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C2F-40E2-BC67-BF3B757E7DE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C2F-40E2-BC67-BF3B757E7DEF}"/>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C2F-40E2-BC67-BF3B757E7DEF}"/>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C2F-40E2-BC67-BF3B757E7DEF}"/>
              </c:ext>
            </c:extLst>
          </c:dPt>
          <c:dLbls>
            <c:dLbl>
              <c:idx val="0"/>
              <c:layout>
                <c:manualLayout>
                  <c:x val="-7.8703703703703706E-2"/>
                  <c:y val="2.1825396825396824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671FF728-1416-457D-B77A-92D12DB80A4D}"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baseline="0"/>
                      <a:t>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6.498031496062992E-2"/>
                      <c:h val="4.0531183602049742E-2"/>
                    </c:manualLayout>
                  </c15:layout>
                  <c15:dlblFieldTable/>
                  <c15:showDataLabelsRange val="0"/>
                </c:ext>
                <c:ext xmlns:c16="http://schemas.microsoft.com/office/drawing/2014/chart" uri="{C3380CC4-5D6E-409C-BE32-E72D297353CC}">
                  <c16:uniqueId val="{00000001-4C2F-40E2-BC67-BF3B757E7DEF}"/>
                </c:ext>
              </c:extLst>
            </c:dLbl>
            <c:dLbl>
              <c:idx val="1"/>
              <c:layout>
                <c:manualLayout>
                  <c:x val="4.1666575532225053E-2"/>
                  <c:y val="-0.17063492063492064"/>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C6ED1FCE-26C3-4BFA-92BA-73BD2F0E2517}"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baseline="0"/>
                      <a:t>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8.0115193934091555E-2"/>
                      <c:h val="5.2435945506811646E-2"/>
                    </c:manualLayout>
                  </c15:layout>
                  <c15:dlblFieldTable/>
                  <c15:showDataLabelsRange val="0"/>
                </c:ext>
                <c:ext xmlns:c16="http://schemas.microsoft.com/office/drawing/2014/chart" uri="{C3380CC4-5D6E-409C-BE32-E72D297353CC}">
                  <c16:uniqueId val="{00000003-4C2F-40E2-BC67-BF3B757E7DEF}"/>
                </c:ext>
              </c:extLst>
            </c:dLbl>
            <c:dLbl>
              <c:idx val="2"/>
              <c:layout>
                <c:manualLayout>
                  <c:x val="0.14814823928258969"/>
                  <c:y val="1.1904761904761904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0F55F8A2-9EF6-4234-9B4E-E60FA34421CB}"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baseline="0"/>
                      <a:t>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2393008165645959"/>
                      <c:h val="5.6404199475065614E-2"/>
                    </c:manualLayout>
                  </c15:layout>
                  <c15:dlblFieldTable/>
                  <c15:showDataLabelsRange val="0"/>
                </c:ext>
                <c:ext xmlns:c16="http://schemas.microsoft.com/office/drawing/2014/chart" uri="{C3380CC4-5D6E-409C-BE32-E72D297353CC}">
                  <c16:uniqueId val="{00000005-4C2F-40E2-BC67-BF3B757E7DEF}"/>
                </c:ext>
              </c:extLst>
            </c:dLbl>
            <c:dLbl>
              <c:idx val="3"/>
              <c:layout>
                <c:manualLayout>
                  <c:x val="7.1759259259259259E-2"/>
                  <c:y val="9.9206349206349392E-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639D39F3-7303-4C55-9C85-B17CFF1AF604}"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baseline="0"/>
                      <a:t>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8181612715077283"/>
                      <c:h val="4.0531183602049742E-2"/>
                    </c:manualLayout>
                  </c15:layout>
                  <c15:dlblFieldTable/>
                  <c15:showDataLabelsRange val="0"/>
                </c:ext>
                <c:ext xmlns:c16="http://schemas.microsoft.com/office/drawing/2014/chart" uri="{C3380CC4-5D6E-409C-BE32-E72D297353CC}">
                  <c16:uniqueId val="{00000007-4C2F-40E2-BC67-BF3B757E7DEF}"/>
                </c:ext>
              </c:extLst>
            </c:dLbl>
            <c:dLbl>
              <c:idx val="4"/>
              <c:layout>
                <c:manualLayout>
                  <c:x val="8.3333333333333287E-2"/>
                  <c:y val="4.5634920634920646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51813C34-7091-4D1C-88B5-B711051CBC6E}"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baseline="0"/>
                      <a:t>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1757217847769029"/>
                      <c:h val="6.434070741157355E-2"/>
                    </c:manualLayout>
                  </c15:layout>
                  <c15:dlblFieldTable/>
                  <c15:showDataLabelsRange val="0"/>
                </c:ext>
                <c:ext xmlns:c16="http://schemas.microsoft.com/office/drawing/2014/chart" uri="{C3380CC4-5D6E-409C-BE32-E72D297353CC}">
                  <c16:uniqueId val="{00000009-4C2F-40E2-BC67-BF3B757E7DE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Infant </c:v>
                </c:pt>
                <c:pt idx="1">
                  <c:v>Toddler</c:v>
                </c:pt>
                <c:pt idx="2">
                  <c:v>Preschoolers </c:v>
                </c:pt>
                <c:pt idx="3">
                  <c:v>School-age children </c:v>
                </c:pt>
                <c:pt idx="4">
                  <c:v>Adolescents </c:v>
                </c:pt>
              </c:strCache>
            </c:strRef>
          </c:cat>
          <c:val>
            <c:numRef>
              <c:f>Sheet1!$B$2:$B$6</c:f>
              <c:numCache>
                <c:formatCode>General</c:formatCode>
                <c:ptCount val="5"/>
                <c:pt idx="0">
                  <c:v>39</c:v>
                </c:pt>
                <c:pt idx="1">
                  <c:v>32</c:v>
                </c:pt>
                <c:pt idx="2">
                  <c:v>12</c:v>
                </c:pt>
                <c:pt idx="3">
                  <c:v>7</c:v>
                </c:pt>
                <c:pt idx="4">
                  <c:v>10</c:v>
                </c:pt>
              </c:numCache>
            </c:numRef>
          </c:val>
          <c:extLst xmlns:c16r2="http://schemas.microsoft.com/office/drawing/2015/06/chart">
            <c:ext xmlns:c16="http://schemas.microsoft.com/office/drawing/2014/chart" uri="{C3380CC4-5D6E-409C-BE32-E72D297353CC}">
              <c16:uniqueId val="{0000000A-4C2F-40E2-BC67-BF3B757E7DEF}"/>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Percentage</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50A-423A-B3F2-25D810950A4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50A-423A-B3F2-25D810950A47}"/>
              </c:ext>
            </c:extLst>
          </c:dPt>
          <c:dLbls>
            <c:dLbl>
              <c:idx val="0"/>
              <c:layout>
                <c:manualLayout>
                  <c:x val="-4.6296296296296294E-2"/>
                  <c:y val="1.1904761904761887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5BDF49B1-3AD5-487E-8B04-C857B085C074}"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baseline="0"/>
                      <a:t>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5.7383712452610092E-2"/>
                      <c:h val="9.2118485189351326E-2"/>
                    </c:manualLayout>
                  </c15:layout>
                  <c15:dlblFieldTable/>
                  <c15:showDataLabelsRange val="0"/>
                </c:ext>
                <c:ext xmlns:c16="http://schemas.microsoft.com/office/drawing/2014/chart" uri="{C3380CC4-5D6E-409C-BE32-E72D297353CC}">
                  <c16:uniqueId val="{00000001-E50A-423A-B3F2-25D810950A47}"/>
                </c:ext>
              </c:extLst>
            </c:dLbl>
            <c:dLbl>
              <c:idx val="1"/>
              <c:layout>
                <c:manualLayout>
                  <c:x val="4.3981481481481483E-2"/>
                  <c:y val="-0.134920634920635"/>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B717D84A-6436-44C4-8189-89329DA4B7D1}"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baseline="0"/>
                      <a:t>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7.6340223097112858E-2"/>
                      <c:h val="6.434070741157355E-2"/>
                    </c:manualLayout>
                  </c15:layout>
                  <c15:dlblFieldTable/>
                  <c15:showDataLabelsRange val="0"/>
                </c:ext>
                <c:ext xmlns:c16="http://schemas.microsoft.com/office/drawing/2014/chart" uri="{C3380CC4-5D6E-409C-BE32-E72D297353CC}">
                  <c16:uniqueId val="{00000003-E50A-423A-B3F2-25D810950A4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Male</c:v>
                </c:pt>
                <c:pt idx="1">
                  <c:v>Female</c:v>
                </c:pt>
              </c:strCache>
            </c:strRef>
          </c:cat>
          <c:val>
            <c:numRef>
              <c:f>Sheet1!$B$2:$B$3</c:f>
              <c:numCache>
                <c:formatCode>General</c:formatCode>
                <c:ptCount val="2"/>
                <c:pt idx="0">
                  <c:v>33</c:v>
                </c:pt>
                <c:pt idx="1">
                  <c:v>67</c:v>
                </c:pt>
              </c:numCache>
            </c:numRef>
          </c:val>
          <c:extLst xmlns:c16r2="http://schemas.microsoft.com/office/drawing/2015/06/chart">
            <c:ext xmlns:c16="http://schemas.microsoft.com/office/drawing/2014/chart" uri="{C3380CC4-5D6E-409C-BE32-E72D297353CC}">
              <c16:uniqueId val="{00000004-E50A-423A-B3F2-25D810950A47}"/>
            </c:ext>
          </c:extLst>
        </c:ser>
        <c:dLbls>
          <c:showLegendKey val="0"/>
          <c:showVal val="1"/>
          <c:showCatName val="0"/>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Percentage</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697-4507-962D-50FE0A79573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697-4507-962D-50FE0A79573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C697-4507-962D-50FE0A795737}"/>
              </c:ext>
            </c:extLst>
          </c:dPt>
          <c:dLbls>
            <c:dLbl>
              <c:idx val="0"/>
              <c:layout>
                <c:manualLayout>
                  <c:x val="-0.10377881698797811"/>
                  <c:y val="1.703940362087325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B77C59BA-B2F2-4460-9E01-BA4E859AAD35}"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baseline="0"/>
                      <a:t>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7266806116240541"/>
                      <c:h val="9.0367873344905369E-2"/>
                    </c:manualLayout>
                  </c15:layout>
                  <c15:dlblFieldTable/>
                  <c15:showDataLabelsRange val="0"/>
                </c:ext>
                <c:ext xmlns:c16="http://schemas.microsoft.com/office/drawing/2014/chart" uri="{C3380CC4-5D6E-409C-BE32-E72D297353CC}">
                  <c16:uniqueId val="{00000001-C697-4507-962D-50FE0A795737}"/>
                </c:ext>
              </c:extLst>
            </c:dLbl>
            <c:dLbl>
              <c:idx val="1"/>
              <c:layout>
                <c:manualLayout>
                  <c:x val="-7.8962210941906377E-2"/>
                  <c:y val="-0.18317358892438765"/>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D7FE4061-33F5-4020-B198-E0A77C5E8424}"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baseline="0"/>
                      <a:t>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4995572253975867"/>
                      <c:h val="0.11632009257628739"/>
                    </c:manualLayout>
                  </c15:layout>
                  <c15:dlblFieldTable/>
                  <c15:showDataLabelsRange val="0"/>
                </c:ext>
                <c:ext xmlns:c16="http://schemas.microsoft.com/office/drawing/2014/chart" uri="{C3380CC4-5D6E-409C-BE32-E72D297353CC}">
                  <c16:uniqueId val="{00000003-C697-4507-962D-50FE0A795737}"/>
                </c:ext>
              </c:extLst>
            </c:dLbl>
            <c:dLbl>
              <c:idx val="2"/>
              <c:layout>
                <c:manualLayout>
                  <c:x val="0.10603496897913142"/>
                  <c:y val="0"/>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F797F63B-F44E-4C51-A108-48B4183B28FC}" type="CATEGORYNAME">
                      <a:rPr lang="en-US"/>
                      <a:pPr>
                        <a:defRPr sz="900" b="0" i="0" u="none" strike="noStrike" kern="1200" baseline="0">
                          <a:solidFill>
                            <a:schemeClr val="dk1">
                              <a:lumMod val="65000"/>
                              <a:lumOff val="35000"/>
                            </a:schemeClr>
                          </a:solidFill>
                          <a:latin typeface="+mn-lt"/>
                          <a:ea typeface="+mn-ea"/>
                          <a:cs typeface="+mn-cs"/>
                        </a:defRPr>
                      </a:pPr>
                      <a:t>[CATEGORY NAME]</a:t>
                    </a:fld>
                    <a:r>
                      <a:rPr lang="en-US" baseline="0"/>
                      <a:t>
</a:t>
                    </a:r>
                  </a:p>
                </c:rich>
              </c:tx>
              <c:spPr>
                <a:solidFill>
                  <a:sysClr val="window" lastClr="FFFFFF"/>
                </a:solidFill>
                <a:ln>
                  <a:solidFill>
                    <a:sysClr val="windowText" lastClr="000000">
                      <a:lumMod val="25000"/>
                      <a:lumOff val="75000"/>
                    </a:sysClr>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manualLayout>
                      <c:w val="0.18784017480048495"/>
                      <c:h val="9.0367873344905369E-2"/>
                    </c:manualLayout>
                  </c15:layout>
                  <c15:dlblFieldTable/>
                  <c15:showDataLabelsRange val="0"/>
                </c:ext>
                <c:ext xmlns:c16="http://schemas.microsoft.com/office/drawing/2014/chart" uri="{C3380CC4-5D6E-409C-BE32-E72D297353CC}">
                  <c16:uniqueId val="{00000005-C697-4507-962D-50FE0A79573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Medications/Drugs</c:v>
                </c:pt>
                <c:pt idx="1">
                  <c:v>Toxic/Poisonous Substances</c:v>
                </c:pt>
                <c:pt idx="2">
                  <c:v>Chemical Substances</c:v>
                </c:pt>
              </c:strCache>
            </c:strRef>
          </c:cat>
          <c:val>
            <c:numRef>
              <c:f>Sheet1!$B$2:$B$4</c:f>
              <c:numCache>
                <c:formatCode>General</c:formatCode>
                <c:ptCount val="3"/>
                <c:pt idx="0">
                  <c:v>33</c:v>
                </c:pt>
                <c:pt idx="1">
                  <c:v>14</c:v>
                </c:pt>
                <c:pt idx="2">
                  <c:v>53</c:v>
                </c:pt>
              </c:numCache>
            </c:numRef>
          </c:val>
          <c:extLst xmlns:c16r2="http://schemas.microsoft.com/office/drawing/2015/06/chart">
            <c:ext xmlns:c16="http://schemas.microsoft.com/office/drawing/2014/chart" uri="{C3380CC4-5D6E-409C-BE32-E72D297353CC}">
              <c16:uniqueId val="{00000006-C697-4507-962D-50FE0A795737}"/>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Mean</c:v>
                </c:pt>
              </c:strCache>
            </c:strRef>
          </c:tx>
          <c:spPr>
            <a:solidFill>
              <a:schemeClr val="accent1"/>
            </a:solidFill>
            <a:ln>
              <a:noFill/>
            </a:ln>
            <a:effectLst/>
            <a:sp3d/>
          </c:spPr>
          <c:invertIfNegative val="0"/>
          <c:dLbls>
            <c:dLbl>
              <c:idx val="0"/>
              <c:tx>
                <c:rich>
                  <a:bodyPr/>
                  <a:lstStyle/>
                  <a:p>
                    <a:fld id="{75835B63-854B-4C11-AAB9-93E2151F9B9E}" type="CATEGORYNAME">
                      <a:rPr lang="en-US"/>
                      <a:pPr/>
                      <a:t>[CATEGORY NAME]</a:t>
                    </a:fld>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205C-4E78-9297-BB16B8B5BE75}"/>
                </c:ext>
              </c:extLst>
            </c:dLbl>
            <c:dLbl>
              <c:idx val="1"/>
              <c:tx>
                <c:rich>
                  <a:bodyPr/>
                  <a:lstStyle/>
                  <a:p>
                    <a:fld id="{4AE09880-280A-4180-81EC-8159C9C27678}" type="CATEGORYNAME">
                      <a:rPr lang="en-US"/>
                      <a:pPr/>
                      <a:t>[CATEGORY NAME]</a:t>
                    </a:fld>
                    <a:endParaRPr lang="en-US"/>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05C-4E78-9297-BB16B8B5BE7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Sheet1!$A$2:$A$3</c:f>
              <c:strCache>
                <c:ptCount val="2"/>
                <c:pt idx="0">
                  <c:v>ALT</c:v>
                </c:pt>
                <c:pt idx="1">
                  <c:v>AST</c:v>
                </c:pt>
              </c:strCache>
            </c:strRef>
          </c:cat>
          <c:val>
            <c:numRef>
              <c:f>Sheet1!$B$2:$B$3</c:f>
              <c:numCache>
                <c:formatCode>General</c:formatCode>
                <c:ptCount val="2"/>
                <c:pt idx="0">
                  <c:v>25.01</c:v>
                </c:pt>
                <c:pt idx="1">
                  <c:v>28.5</c:v>
                </c:pt>
              </c:numCache>
            </c:numRef>
          </c:val>
          <c:extLst xmlns:c16r2="http://schemas.microsoft.com/office/drawing/2015/06/chart">
            <c:ext xmlns:c16="http://schemas.microsoft.com/office/drawing/2014/chart" uri="{C3380CC4-5D6E-409C-BE32-E72D297353CC}">
              <c16:uniqueId val="{00000002-205C-4E78-9297-BB16B8B5BE75}"/>
            </c:ext>
          </c:extLst>
        </c:ser>
        <c:dLbls>
          <c:showLegendKey val="0"/>
          <c:showVal val="0"/>
          <c:showCatName val="0"/>
          <c:showSerName val="0"/>
          <c:showPercent val="0"/>
          <c:showBubbleSize val="0"/>
        </c:dLbls>
        <c:gapWidth val="150"/>
        <c:shape val="box"/>
        <c:axId val="104407808"/>
        <c:axId val="104409344"/>
        <c:axId val="0"/>
      </c:bar3DChart>
      <c:catAx>
        <c:axId val="104407808"/>
        <c:scaling>
          <c:orientation val="minMax"/>
        </c:scaling>
        <c:delete val="1"/>
        <c:axPos val="b"/>
        <c:numFmt formatCode="General" sourceLinked="1"/>
        <c:majorTickMark val="none"/>
        <c:minorTickMark val="none"/>
        <c:tickLblPos val="nextTo"/>
        <c:crossAx val="104409344"/>
        <c:crosses val="autoZero"/>
        <c:auto val="1"/>
        <c:lblAlgn val="ctr"/>
        <c:lblOffset val="100"/>
        <c:noMultiLvlLbl val="0"/>
      </c:catAx>
      <c:valAx>
        <c:axId val="10440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40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BFE79-7C7E-4E54-A340-4F43AE46F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Pages>
  <Words>17366</Words>
  <Characters>98992</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 AYSSER</dc:creator>
  <cp:lastModifiedBy>gooda</cp:lastModifiedBy>
  <cp:revision>27</cp:revision>
  <cp:lastPrinted>2023-09-23T13:30:00Z</cp:lastPrinted>
  <dcterms:created xsi:type="dcterms:W3CDTF">2023-02-05T21:56:00Z</dcterms:created>
  <dcterms:modified xsi:type="dcterms:W3CDTF">2023-09-23T13:31:00Z</dcterms:modified>
</cp:coreProperties>
</file>